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eastAsia="ru-RU"/>
        </w:rPr>
        <w:drawing>
          <wp:inline distT="0" distB="0" distL="0" distR="0">
            <wp:extent cx="1127125" cy="723265"/>
            <wp:effectExtent l="0" t="0" r="0" b="635"/>
            <wp:docPr id="2" name="Рисунок 2" descr="C:\Documents and Settings\Admin\Мои документы\Бланки, логотипы, подписи\jinr-blue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Admin\Мои документы\Бланки, логотипы, подписи\jinr-blue-smal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 w:val="32"/>
          <w:szCs w:val="32"/>
          <w:lang w:val="en-US"/>
        </w:rPr>
      </w:pPr>
    </w:p>
    <w:p>
      <w:pPr>
        <w:jc w:val="center"/>
        <w:rPr>
          <w:rFonts w:ascii="Arial" w:hAnsi="Arial" w:cs="Arial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sz w:val="36"/>
          <w:szCs w:val="40"/>
          <w:lang w:val="en-US"/>
        </w:rPr>
      </w:pPr>
      <w:r>
        <w:rPr>
          <w:rFonts w:ascii="Times New Roman" w:hAnsi="Times New Roman" w:cs="Times New Roman"/>
          <w:sz w:val="36"/>
          <w:szCs w:val="40"/>
          <w:lang w:val="en-US"/>
        </w:rPr>
        <w:t>JOINT INSTITUTE FOR NUCLEAR RESEARCH</w:t>
      </w:r>
    </w:p>
    <w:p>
      <w:pPr>
        <w:jc w:val="center"/>
        <w:rPr>
          <w:rFonts w:ascii="Times New Roman" w:hAnsi="Times New Roman" w:cs="Times New Roman"/>
          <w:sz w:val="32"/>
          <w:szCs w:val="36"/>
          <w:lang w:val="en-US"/>
        </w:rPr>
      </w:pPr>
      <w:r>
        <w:rPr>
          <w:rFonts w:ascii="Times New Roman" w:hAnsi="Times New Roman" w:cs="Times New Roman"/>
          <w:sz w:val="32"/>
          <w:szCs w:val="36"/>
          <w:lang w:val="en-US"/>
        </w:rPr>
        <w:t>Educational and Scientific Center</w:t>
      </w: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w w:val="95"/>
          <w:sz w:val="48"/>
          <w:szCs w:val="52"/>
          <w:lang w:val="en-US"/>
        </w:rPr>
      </w:pPr>
      <w:r>
        <w:rPr>
          <w:rFonts w:ascii="Times New Roman" w:hAnsi="Times New Roman" w:cs="Times New Roman"/>
          <w:b/>
          <w:w w:val="95"/>
          <w:sz w:val="48"/>
          <w:szCs w:val="52"/>
          <w:lang w:val="en-US"/>
        </w:rPr>
        <w:t>FINAL REPORT ON THE</w:t>
      </w:r>
    </w:p>
    <w:p>
      <w:pPr>
        <w:jc w:val="center"/>
        <w:rPr>
          <w:rFonts w:ascii="Times New Roman" w:hAnsi="Times New Roman" w:cs="Times New Roman"/>
          <w:b/>
          <w:w w:val="95"/>
          <w:sz w:val="52"/>
          <w:szCs w:val="60"/>
          <w:lang w:val="en-US"/>
        </w:rPr>
      </w:pPr>
      <w:r>
        <w:rPr>
          <w:rFonts w:ascii="Times New Roman" w:hAnsi="Times New Roman" w:cs="Times New Roman"/>
          <w:b/>
          <w:w w:val="95"/>
          <w:sz w:val="52"/>
          <w:szCs w:val="60"/>
          <w:lang w:val="en-US"/>
        </w:rPr>
        <w:t>INTEREST PROGRAMME</w:t>
      </w: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jc w:val="center"/>
        <w:rPr>
          <w:rFonts w:ascii="Times New Roman" w:hAnsi="Times New Roman" w:cs="Times New Roman"/>
          <w:i/>
          <w:sz w:val="44"/>
          <w:szCs w:val="48"/>
          <w:lang w:val="en-US"/>
        </w:rPr>
      </w:pPr>
      <w:r>
        <w:rPr>
          <w:rFonts w:ascii="Times New Roman" w:hAnsi="Times New Roman" w:cs="Times New Roman"/>
          <w:i/>
          <w:sz w:val="44"/>
          <w:szCs w:val="48"/>
          <w:lang w:val="en-US"/>
        </w:rPr>
        <w:t xml:space="preserve">Pixel detector </w:t>
      </w:r>
      <w:bookmarkStart w:id="0" w:name="_Hlk153404929"/>
      <w:r>
        <w:rPr>
          <w:rFonts w:ascii="Times New Roman" w:hAnsi="Times New Roman" w:cs="Times New Roman"/>
          <w:i/>
          <w:sz w:val="44"/>
          <w:szCs w:val="48"/>
          <w:lang w:val="en-US"/>
        </w:rPr>
        <w:t>Medipix MX-10</w:t>
      </w:r>
      <w:bookmarkEnd w:id="0"/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spacing w:after="120"/>
        <w:ind w:left="5670"/>
        <w:rPr>
          <w:rFonts w:ascii="Times New Roman" w:hAnsi="Times New Roman" w:cs="Times New Roman"/>
          <w:b/>
          <w:sz w:val="32"/>
          <w:szCs w:val="36"/>
          <w:lang w:val="en-US"/>
        </w:rPr>
      </w:pPr>
      <w:bookmarkStart w:id="6" w:name="_GoBack"/>
      <w:r>
        <w:rPr>
          <w:rFonts w:ascii="Times New Roman" w:hAnsi="Times New Roman" w:cs="Times New Roman"/>
          <w:b/>
          <w:sz w:val="32"/>
          <w:szCs w:val="36"/>
          <w:lang w:val="en-US"/>
        </w:rPr>
        <w:t>Supervisor:</w:t>
      </w:r>
    </w:p>
    <w:p>
      <w:pPr>
        <w:ind w:left="5954" w:firstLine="283"/>
        <w:rPr>
          <w:rFonts w:ascii="Times New Roman" w:hAnsi="Times New Roman" w:cs="Times New Roman"/>
          <w:sz w:val="32"/>
          <w:szCs w:val="36"/>
          <w:lang w:val="en-US"/>
        </w:rPr>
      </w:pPr>
      <w:r>
        <w:rPr>
          <w:rFonts w:ascii="Times New Roman" w:hAnsi="Times New Roman" w:cs="Times New Roman"/>
          <w:sz w:val="32"/>
          <w:szCs w:val="36"/>
          <w:lang w:val="en-US"/>
        </w:rPr>
        <w:t xml:space="preserve">K.B. Gikal </w:t>
      </w:r>
    </w:p>
    <w:p>
      <w:pPr>
        <w:ind w:left="5954" w:firstLine="283"/>
        <w:rPr>
          <w:rFonts w:ascii="Times New Roman" w:hAnsi="Times New Roman" w:cs="Times New Roman"/>
          <w:sz w:val="32"/>
          <w:szCs w:val="36"/>
          <w:lang w:val="en-US"/>
        </w:rPr>
      </w:pPr>
    </w:p>
    <w:p>
      <w:pPr>
        <w:spacing w:after="120"/>
        <w:ind w:left="5670"/>
        <w:rPr>
          <w:rFonts w:ascii="Times New Roman" w:hAnsi="Times New Roman" w:cs="Times New Roman"/>
          <w:b/>
          <w:sz w:val="32"/>
          <w:szCs w:val="36"/>
          <w:lang w:val="en-US"/>
        </w:rPr>
      </w:pPr>
      <w:r>
        <w:rPr>
          <w:rFonts w:ascii="Times New Roman" w:hAnsi="Times New Roman" w:cs="Times New Roman"/>
          <w:b/>
          <w:sz w:val="32"/>
          <w:szCs w:val="36"/>
          <w:lang w:val="en-US"/>
        </w:rPr>
        <w:t>Teachers:</w:t>
      </w:r>
    </w:p>
    <w:p>
      <w:pPr>
        <w:ind w:left="5954" w:firstLine="283"/>
        <w:rPr>
          <w:rFonts w:ascii="Times New Roman" w:hAnsi="Times New Roman" w:cs="Times New Roman"/>
          <w:sz w:val="32"/>
          <w:szCs w:val="36"/>
          <w:lang w:val="en-US"/>
        </w:rPr>
      </w:pPr>
      <w:r>
        <w:rPr>
          <w:rFonts w:ascii="Times New Roman" w:hAnsi="Times New Roman" w:cs="Times New Roman"/>
          <w:sz w:val="32"/>
          <w:szCs w:val="36"/>
          <w:lang w:val="en-US"/>
        </w:rPr>
        <w:t>K.D. Timoshenko</w:t>
      </w:r>
    </w:p>
    <w:p>
      <w:pPr>
        <w:ind w:left="5954" w:firstLine="283"/>
        <w:rPr>
          <w:rFonts w:ascii="Times New Roman" w:hAnsi="Times New Roman" w:cs="Times New Roman"/>
          <w:sz w:val="32"/>
          <w:szCs w:val="36"/>
          <w:lang w:val="en-US"/>
        </w:rPr>
      </w:pPr>
      <w:r>
        <w:rPr>
          <w:rFonts w:ascii="Times New Roman" w:hAnsi="Times New Roman" w:cs="Times New Roman"/>
          <w:sz w:val="32"/>
          <w:szCs w:val="36"/>
          <w:lang w:val="en-US"/>
        </w:rPr>
        <w:t xml:space="preserve">L.A. Pavlov </w:t>
      </w:r>
    </w:p>
    <w:p>
      <w:pPr>
        <w:ind w:left="5954" w:firstLine="283"/>
        <w:rPr>
          <w:rFonts w:ascii="Times New Roman" w:hAnsi="Times New Roman" w:cs="Times New Roman"/>
          <w:sz w:val="32"/>
          <w:szCs w:val="36"/>
          <w:lang w:val="en-US"/>
        </w:rPr>
      </w:pPr>
    </w:p>
    <w:bookmarkEnd w:id="6"/>
    <w:p>
      <w:pPr>
        <w:ind w:left="5954" w:firstLine="283"/>
        <w:rPr>
          <w:rFonts w:ascii="Times New Roman" w:hAnsi="Times New Roman" w:cs="Times New Roman"/>
          <w:sz w:val="32"/>
          <w:szCs w:val="36"/>
          <w:lang w:val="en-US"/>
        </w:rPr>
      </w:pPr>
    </w:p>
    <w:p>
      <w:pPr>
        <w:spacing w:before="120"/>
        <w:ind w:left="5670"/>
        <w:rPr>
          <w:rFonts w:ascii="Times New Roman" w:hAnsi="Times New Roman" w:cs="Times New Roman"/>
          <w:b/>
          <w:sz w:val="32"/>
          <w:szCs w:val="36"/>
          <w:lang w:val="en-US"/>
        </w:rPr>
      </w:pPr>
      <w:r>
        <w:rPr>
          <w:rFonts w:ascii="Times New Roman" w:hAnsi="Times New Roman" w:cs="Times New Roman"/>
          <w:b/>
          <w:sz w:val="32"/>
          <w:szCs w:val="36"/>
          <w:lang w:val="en-US"/>
        </w:rPr>
        <w:t>Student:</w:t>
      </w:r>
    </w:p>
    <w:p>
      <w:pPr>
        <w:spacing w:before="120"/>
        <w:ind w:left="5670"/>
        <w:rPr>
          <w:rFonts w:ascii="Times New Roman" w:hAnsi="Times New Roman" w:cs="Times New Roman"/>
          <w:b/>
          <w:sz w:val="32"/>
          <w:szCs w:val="36"/>
          <w:lang w:val="uz-Latn-UZ"/>
        </w:rPr>
      </w:pPr>
      <w:r>
        <w:rPr>
          <w:rFonts w:ascii="Times New Roman" w:hAnsi="Times New Roman" w:cs="Times New Roman"/>
          <w:b/>
          <w:sz w:val="32"/>
          <w:szCs w:val="36"/>
          <w:lang w:val="uz-Latn-UZ"/>
        </w:rPr>
        <w:t>Bakhriev Nizomiddin</w:t>
      </w:r>
    </w:p>
    <w:p>
      <w:pPr>
        <w:rPr>
          <w:rFonts w:ascii="Times New Roman" w:hAnsi="Times New Roman" w:cs="Times New Roman"/>
          <w:sz w:val="32"/>
          <w:szCs w:val="36"/>
          <w:lang w:val="en-US"/>
        </w:rPr>
      </w:pPr>
    </w:p>
    <w:p>
      <w:pPr>
        <w:spacing w:after="120"/>
        <w:ind w:left="5670"/>
        <w:rPr>
          <w:rFonts w:ascii="Times New Roman" w:hAnsi="Times New Roman" w:cs="Times New Roman"/>
          <w:b/>
          <w:sz w:val="32"/>
          <w:szCs w:val="36"/>
          <w:lang w:val="en-US"/>
        </w:rPr>
      </w:pPr>
      <w:r>
        <w:rPr>
          <w:rFonts w:ascii="Times New Roman" w:hAnsi="Times New Roman" w:cs="Times New Roman"/>
          <w:b/>
          <w:sz w:val="32"/>
          <w:szCs w:val="36"/>
          <w:lang w:val="en-US"/>
        </w:rPr>
        <w:t>Participation period:</w:t>
      </w:r>
    </w:p>
    <w:p>
      <w:pPr>
        <w:ind w:left="5954" w:firstLine="283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26.02–</w:t>
      </w:r>
      <w:r>
        <w:rPr>
          <w:rFonts w:ascii="Times New Roman" w:hAnsi="Times New Roman" w:cs="Times New Roman"/>
          <w:sz w:val="32"/>
          <w:szCs w:val="36"/>
          <w:lang w:val="en-US"/>
        </w:rPr>
        <w:t xml:space="preserve"> 1</w:t>
      </w:r>
      <w:r>
        <w:rPr>
          <w:rFonts w:ascii="Times New Roman" w:hAnsi="Times New Roman" w:cs="Times New Roman"/>
          <w:sz w:val="32"/>
          <w:szCs w:val="36"/>
        </w:rPr>
        <w:t>4.04</w:t>
      </w:r>
      <w:r>
        <w:rPr>
          <w:rFonts w:ascii="Times New Roman" w:hAnsi="Times New Roman" w:cs="Times New Roman"/>
          <w:sz w:val="32"/>
          <w:szCs w:val="36"/>
          <w:lang w:val="en-US"/>
        </w:rPr>
        <w:t>, Wave 1</w:t>
      </w:r>
      <w:r>
        <w:rPr>
          <w:rFonts w:ascii="Times New Roman" w:hAnsi="Times New Roman" w:cs="Times New Roman"/>
          <w:sz w:val="32"/>
          <w:szCs w:val="36"/>
        </w:rPr>
        <w:t>0</w:t>
      </w:r>
    </w:p>
    <w:p>
      <w:pPr>
        <w:ind w:left="4536"/>
        <w:rPr>
          <w:rFonts w:ascii="Times New Roman" w:hAnsi="Times New Roman" w:cs="Times New Roman"/>
          <w:sz w:val="32"/>
          <w:szCs w:val="36"/>
          <w:lang w:val="en-US"/>
        </w:rPr>
      </w:pPr>
    </w:p>
    <w:p>
      <w:pPr>
        <w:ind w:left="4536"/>
        <w:rPr>
          <w:rFonts w:ascii="Times New Roman" w:hAnsi="Times New Roman" w:cs="Times New Roman"/>
          <w:sz w:val="32"/>
          <w:szCs w:val="36"/>
          <w:lang w:val="en-US"/>
        </w:rPr>
      </w:pPr>
    </w:p>
    <w:p>
      <w:pPr>
        <w:pStyle w:val="18"/>
        <w:jc w:val="center"/>
        <w:rPr>
          <w:rFonts w:ascii="Arial" w:hAnsi="Arial" w:cs="Arial"/>
          <w:color w:val="auto"/>
          <w:szCs w:val="36"/>
        </w:rPr>
      </w:pPr>
      <w:r>
        <w:rPr>
          <w:rFonts w:ascii="Times New Roman" w:hAnsi="Times New Roman" w:cs="Times New Roman"/>
          <w:color w:val="auto"/>
          <w:szCs w:val="36"/>
          <w:lang w:val="en-US"/>
        </w:rPr>
        <w:t>Dubna, 202</w:t>
      </w:r>
      <w:r>
        <w:rPr>
          <w:rFonts w:ascii="Times New Roman" w:hAnsi="Times New Roman" w:cs="Times New Roman"/>
          <w:color w:val="auto"/>
          <w:szCs w:val="36"/>
        </w:rPr>
        <w:t>4</w:t>
      </w:r>
      <w:r>
        <w:rPr>
          <w:rFonts w:ascii="Arial" w:hAnsi="Arial" w:cs="Arial"/>
          <w:color w:val="auto"/>
          <w:szCs w:val="36"/>
        </w:rPr>
        <w:br w:type="page"/>
      </w:r>
    </w:p>
    <w:sdt>
      <w:sdtPr>
        <w:rPr>
          <w:rFonts w:asciiTheme="minorHAnsi" w:hAnsiTheme="minorHAnsi" w:eastAsiaTheme="minorHAnsi" w:cstheme="minorBidi"/>
          <w:color w:val="auto"/>
          <w:sz w:val="28"/>
          <w:szCs w:val="28"/>
          <w:lang w:eastAsia="en-US"/>
        </w:rPr>
        <w:id w:val="85199751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HAnsi" w:cstheme="minorBidi"/>
          <w:b/>
          <w:bCs/>
          <w:color w:val="auto"/>
          <w:sz w:val="28"/>
          <w:szCs w:val="28"/>
          <w:lang w:eastAsia="en-US"/>
        </w:rPr>
      </w:sdtEndPr>
      <w:sdtContent>
        <w:p>
          <w:pPr>
            <w:pStyle w:val="18"/>
            <w:spacing w:line="240" w:lineRule="auto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Оглавление</w:t>
          </w:r>
        </w:p>
        <w:p>
          <w:pPr>
            <w:pStyle w:val="10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Аннотация</w:t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TOC \o "1-3"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fldChar w:fldCharType="begin"/>
          </w:r>
          <w:r>
            <w:instrText xml:space="preserve"> HYPERLINK \l "_Toc153562322"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_Toc153562322 \h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3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"_Toc153562323" </w:instrText>
          </w:r>
          <w: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>Введение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_Toc153562323 \h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4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"_Toc153562324" </w:instrText>
          </w:r>
          <w: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>1. Изучение ионизирующего излучения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_Toc153562324 \h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5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"_Toc153562325" </w:instrText>
          </w:r>
          <w: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>2. Знакомство с детектором Medipix MX-10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_Toc153562325 \h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7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ind w:left="560" w:leftChars="20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3.</w:t>
          </w:r>
          <w:r>
            <w:rPr>
              <w:rFonts w:ascii="Times New Roman" w:hAnsi="Times New Roman" w:eastAsia="DengXian" w:cs="Times New Roman"/>
            </w:rPr>
            <w:t>Знакомство с маломощными радиоактивными источниками................11</w:t>
          </w:r>
        </w:p>
        <w:p>
          <w:pPr>
            <w:pStyle w:val="10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"_Toc153562326" </w:instrText>
          </w:r>
          <w: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>4. Знакомство с америциевым источником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_Toc153562326 \h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>4</w:t>
          </w:r>
        </w:p>
        <w:p>
          <w:pPr>
            <w:pStyle w:val="10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"_Toc153562327" </w:instrText>
          </w:r>
          <w: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>5. Потери энергии альфа-частиц в воздухе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_Toc153562327 \h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>6</w:t>
          </w:r>
        </w:p>
        <w:p>
          <w:pPr>
            <w:pStyle w:val="10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"_Toc153562328" </w:instrText>
          </w:r>
          <w: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>6.  Потери энергии альфа-частицы в полиэтилене и алюминии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_Toc153562328 \h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>9</w:t>
          </w:r>
        </w:p>
        <w:p>
          <w:pPr>
            <w:pStyle w:val="10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"_Toc153562329" </w:instrText>
          </w:r>
          <w: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 xml:space="preserve">7.  Гамма-излучение от </w:t>
          </w:r>
          <m:oMath>
            <m:r>
              <m:rPr>
                <m:sty m:val="p"/>
              </m:rPr>
              <w:rPr>
                <w:rStyle w:val="9"/>
                <w:rFonts w:ascii="Cambria Math" w:hAnsi="Cambria Math" w:cs="Times New Roman"/>
              </w:rPr>
              <m:t>241</m:t>
            </m:r>
            <m:r>
              <m:rPr>
                <m:sty m:val="p"/>
              </m:rPr>
              <w:rPr>
                <w:rStyle w:val="9"/>
                <w:rFonts w:ascii="Cambria Math" w:hAnsi="Cambria Math" w:cs="Times New Roman"/>
                <w:lang w:val="en-US"/>
              </w:rPr>
              <m:t>Am</m:t>
            </m:r>
          </m:oMath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>2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>4</w:t>
          </w:r>
        </w:p>
        <w:p>
          <w:pPr>
            <w:pStyle w:val="10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"_Toc153562330" </w:instrText>
          </w:r>
          <w: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>8. Применение гамма-излучения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_Toc153562330 \h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2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>7</w:t>
          </w:r>
        </w:p>
        <w:p>
          <w:pPr>
            <w:pStyle w:val="10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"_Toc153562331" </w:instrText>
          </w:r>
          <w: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>9. Естественная радиация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_Toc153562331 \h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2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>9</w:t>
          </w:r>
        </w:p>
        <w:p>
          <w:pPr>
            <w:pStyle w:val="10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"_Toc153562332" </w:instrText>
          </w:r>
          <w: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>Заключение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>32</w:t>
          </w:r>
        </w:p>
        <w:p>
          <w:r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>
      <w:pPr>
        <w:jc w:val="center"/>
        <w:rPr>
          <w:rFonts w:ascii="Arial" w:hAnsi="Arial" w:cs="Arial"/>
          <w:sz w:val="36"/>
          <w:szCs w:val="36"/>
          <w:lang w:val="en-US"/>
        </w:rPr>
      </w:pPr>
    </w:p>
    <w:p>
      <w:pPr>
        <w:jc w:val="center"/>
        <w:rPr>
          <w:rFonts w:ascii="Arial" w:hAnsi="Arial" w:cs="Arial"/>
          <w:sz w:val="36"/>
          <w:szCs w:val="36"/>
          <w:lang w:val="en-US"/>
        </w:rPr>
      </w:pPr>
    </w:p>
    <w:p>
      <w:pPr>
        <w:jc w:val="center"/>
        <w:rPr>
          <w:rFonts w:ascii="Arial" w:hAnsi="Arial" w:cs="Arial"/>
          <w:sz w:val="36"/>
          <w:szCs w:val="36"/>
          <w:lang w:val="en-US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jc w:val="center"/>
        <w:rPr>
          <w:rFonts w:ascii="Arial" w:hAnsi="Arial" w:cs="Arial"/>
          <w:sz w:val="32"/>
          <w:szCs w:val="36"/>
        </w:rPr>
      </w:pPr>
    </w:p>
    <w:p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Аннотация</w:t>
      </w:r>
    </w:p>
    <w:p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Детектор Medipix Mx-10 представляет собой полупроводниковый прибор, созданный в рамках международного сотрудничества, организованного ЦЕРНом. Он способен регистрировать различные виды частиц, такие как </w:t>
      </w:r>
      <w:r>
        <w:rPr>
          <w:rFonts w:ascii="Calibri" w:hAnsi="Calibri" w:cs="Calibri"/>
        </w:rPr>
        <w:t>α</w:t>
      </w:r>
      <w:r>
        <w:rPr>
          <w:rFonts w:ascii="Times New Roman" w:hAnsi="Times New Roman" w:cs="Times New Roman"/>
        </w:rPr>
        <w:t xml:space="preserve">, </w:t>
      </w:r>
      <w:r>
        <w:rPr>
          <w:rFonts w:ascii="Arial" w:hAnsi="Arial" w:cs="Arial"/>
        </w:rPr>
        <w:t>β</w:t>
      </w:r>
      <w:r>
        <w:rPr>
          <w:rFonts w:ascii="Times New Roman" w:hAnsi="Times New Roman" w:cs="Times New Roman"/>
        </w:rPr>
        <w:t xml:space="preserve"> и γ-частицы, путем их регистрации на пиксельной матрице. Этот детектор был использован для проведения экспериментов, направленных на изучение свойств частиц и их источников. С учетом активного использования радиоактивного излучения в медицине, энергетике и других областях жизни, важно иметь возможность работать с таким излучением и получать информацию о частицах и их происхождении, для чего и были использованы указанные детекторы.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3"/>
        <w:rPr>
          <w:rFonts w:ascii="Times New Roman" w:hAnsi="Times New Roman" w:cs="Times New Roman"/>
        </w:rPr>
      </w:pPr>
      <w:bookmarkStart w:id="1" w:name="_Toc153562323"/>
      <w:r>
        <w:rPr>
          <w:rFonts w:ascii="Times New Roman" w:hAnsi="Times New Roman" w:cs="Times New Roman"/>
          <w:b w:val="0"/>
          <w:bCs w:val="0"/>
        </w:rPr>
        <w:t>Введение</w:t>
      </w:r>
      <w:bookmarkEnd w:id="1"/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данной работы является получение навыков и знаний по работе с пиксельным детектором </w:t>
      </w:r>
      <w:r>
        <w:rPr>
          <w:rFonts w:ascii="Times New Roman" w:hAnsi="Times New Roman" w:cs="Times New Roman"/>
          <w:sz w:val="24"/>
          <w:szCs w:val="24"/>
          <w:lang w:val="en-US"/>
        </w:rPr>
        <w:t>Medipix</w:t>
      </w:r>
      <w:r>
        <w:rPr>
          <w:rFonts w:ascii="Times New Roman" w:hAnsi="Times New Roman" w:cs="Times New Roman"/>
          <w:sz w:val="24"/>
          <w:szCs w:val="24"/>
        </w:rPr>
        <w:t>-10.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Задачи, поставленные в данной работе:</w:t>
      </w:r>
    </w:p>
    <w:p>
      <w:pPr>
        <w:pStyle w:val="1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основ ионизирующего излучения</w:t>
      </w:r>
    </w:p>
    <w:p>
      <w:pPr>
        <w:pStyle w:val="1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типов детекторов, детектора </w:t>
      </w:r>
      <w:r>
        <w:rPr>
          <w:rFonts w:ascii="Times New Roman" w:hAnsi="Times New Roman" w:cs="Times New Roman"/>
          <w:sz w:val="24"/>
          <w:szCs w:val="24"/>
          <w:lang w:val="en-US"/>
        </w:rPr>
        <w:t>Medipix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MX</w:t>
      </w:r>
      <w:r>
        <w:rPr>
          <w:rFonts w:ascii="Times New Roman" w:hAnsi="Times New Roman" w:cs="Times New Roman"/>
          <w:sz w:val="24"/>
          <w:szCs w:val="24"/>
        </w:rPr>
        <w:t xml:space="preserve">-10 и программное обеспечение </w:t>
      </w:r>
      <w:r>
        <w:rPr>
          <w:rFonts w:ascii="Times New Roman" w:hAnsi="Times New Roman" w:cs="Times New Roman"/>
          <w:sz w:val="24"/>
          <w:szCs w:val="24"/>
          <w:lang w:val="en-US"/>
        </w:rPr>
        <w:t>Pixelma</w:t>
      </w:r>
    </w:p>
    <w:p>
      <w:pPr>
        <w:pStyle w:val="1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используемых источников излучения и концепции коллимации пучков частиц</w:t>
      </w:r>
    </w:p>
    <w:p>
      <w:pPr>
        <w:pStyle w:val="1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распространения альфа-частиц по воздуху</w:t>
      </w:r>
    </w:p>
    <w:p>
      <w:pPr>
        <w:pStyle w:val="1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распространения гамма-излучения от источника америция</w:t>
      </w:r>
    </w:p>
    <w:p>
      <w:pPr>
        <w:pStyle w:val="1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естественного фонового излучения</w:t>
      </w:r>
    </w:p>
    <w:p>
      <w:pPr>
        <w:jc w:val="center"/>
        <w:rPr>
          <w:rFonts w:ascii="Arial" w:hAnsi="Arial" w:cs="Arial"/>
          <w:sz w:val="36"/>
          <w:szCs w:val="36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pStyle w:val="19"/>
        <w:jc w:val="both"/>
        <w:rPr>
          <w:rFonts w:ascii="Times New Roman" w:hAnsi="Times New Roman" w:eastAsia="Calibri"/>
          <w:b/>
          <w:bCs/>
          <w:sz w:val="32"/>
          <w:szCs w:val="32"/>
        </w:rPr>
      </w:pPr>
    </w:p>
    <w:p>
      <w:pPr>
        <w:rPr>
          <w:rFonts w:ascii="Times New Roman" w:hAnsi="Times New Roman" w:eastAsia="Calibri"/>
          <w:b/>
          <w:bCs/>
          <w:sz w:val="32"/>
          <w:szCs w:val="32"/>
        </w:rPr>
      </w:pPr>
      <w:r>
        <w:rPr>
          <w:rFonts w:ascii="Times New Roman" w:hAnsi="Times New Roman" w:eastAsia="Calibri"/>
          <w:b/>
          <w:bCs/>
          <w:sz w:val="32"/>
          <w:szCs w:val="32"/>
        </w:rPr>
        <w:br w:type="page"/>
      </w:r>
    </w:p>
    <w:p>
      <w:pPr>
        <w:pStyle w:val="19"/>
        <w:jc w:val="both"/>
        <w:rPr>
          <w:rFonts w:ascii="Times New Roman" w:hAnsi="Times New Roman" w:eastAsia="Calibri"/>
          <w:sz w:val="32"/>
          <w:szCs w:val="32"/>
          <w:highlight w:val="none"/>
          <w:lang w:val="uz-Latn-UZ"/>
        </w:rPr>
      </w:pPr>
      <w:r>
        <w:rPr>
          <w:rFonts w:hint="default" w:ascii="Times New Roman" w:hAnsi="Times New Roman" w:eastAsia="Calibri" w:cs="Times New Roman"/>
          <w:sz w:val="32"/>
          <w:szCs w:val="32"/>
          <w:highlight w:val="none"/>
        </w:rPr>
        <w:t>§1 Изуч</w:t>
      </w:r>
      <w:r>
        <w:rPr>
          <w:rFonts w:ascii="Times New Roman" w:hAnsi="Times New Roman" w:eastAsia="Calibri"/>
          <w:sz w:val="32"/>
          <w:szCs w:val="32"/>
          <w:highlight w:val="none"/>
        </w:rPr>
        <w:t>ение ионизирующего излучения</w:t>
      </w:r>
    </w:p>
    <w:p>
      <w:pPr>
        <w:pStyle w:val="19"/>
        <w:ind w:firstLine="708"/>
        <w:jc w:val="both"/>
        <w:rPr>
          <w:rFonts w:ascii="Times New Roman" w:hAnsi="Times New Roman" w:eastAsia="Calibri"/>
          <w:highlight w:val="none"/>
        </w:rPr>
      </w:pPr>
      <w:r>
        <w:rPr>
          <w:rFonts w:ascii="Times New Roman" w:hAnsi="Times New Roman" w:eastAsia="Calibri"/>
          <w:highlight w:val="none"/>
        </w:rPr>
        <w:t>В лабораторной работе №1 была изучена теория ионизирующего излучения, виды радиоактивных распадов.</w:t>
      </w:r>
    </w:p>
    <w:p>
      <w:pPr>
        <w:pStyle w:val="19"/>
        <w:ind w:firstLine="708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b/>
          <w:bCs/>
          <w:i/>
          <w:iCs/>
        </w:rPr>
        <w:t>Ионизирующее излучение</w:t>
      </w:r>
      <w:r>
        <w:rPr>
          <w:rFonts w:ascii="Times New Roman" w:hAnsi="Times New Roman" w:eastAsia="Calibri"/>
          <w:i/>
          <w:iCs/>
        </w:rPr>
        <w:t xml:space="preserve"> </w:t>
      </w:r>
      <w:r>
        <w:rPr>
          <w:rFonts w:ascii="Times New Roman" w:hAnsi="Times New Roman" w:eastAsia="Calibri"/>
        </w:rPr>
        <w:t>– это потоки фотонов элементарных частиц или атомных ядер, способных ионизировать вещество. Из всех существующих типов такого излучения основными(значимыми) выделяют:</w:t>
      </w:r>
    </w:p>
    <w:p>
      <w:pPr>
        <w:pStyle w:val="20"/>
        <w:numPr>
          <w:ilvl w:val="0"/>
          <w:numId w:val="2"/>
        </w:numPr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Коротковолновое электромагнитное излучение – поток фотонов высоких энергий (гамма-излучение, рентгеновское излучение).</w:t>
      </w:r>
    </w:p>
    <w:p>
      <w:pPr>
        <w:pStyle w:val="20"/>
        <w:numPr>
          <w:ilvl w:val="0"/>
          <w:numId w:val="2"/>
        </w:numPr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Потоки частиц (бета-частиц, нейтронов, протонов, мюонов, альфа-частиц и т.д).</w:t>
      </w:r>
    </w:p>
    <w:p>
      <w:pPr>
        <w:pStyle w:val="19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На практике в качестве источников излучения будут использоваться радионуклиды.</w:t>
      </w:r>
      <w:r>
        <w:rPr>
          <w:rFonts w:ascii="Times New Roman" w:hAnsi="Times New Roman" w:eastAsia="Calibri"/>
          <w:b/>
          <w:bCs/>
          <w:i/>
          <w:iCs/>
          <w:lang w:val="uz-Latn-UZ"/>
        </w:rPr>
        <w:t xml:space="preserve">         </w:t>
      </w:r>
      <w:r>
        <w:rPr>
          <w:rFonts w:ascii="Times New Roman" w:hAnsi="Times New Roman" w:eastAsia="Calibri"/>
          <w:b/>
          <w:bCs/>
          <w:i/>
          <w:iCs/>
        </w:rPr>
        <w:t>Радиоактивный распад</w:t>
      </w:r>
      <w:r>
        <w:rPr>
          <w:rFonts w:ascii="Times New Roman" w:hAnsi="Times New Roman" w:eastAsia="Calibri"/>
        </w:rPr>
        <w:t xml:space="preserve"> - распад, в котором радиоактивные ядра распадаются независимо друг от друга и от времени. Вероятность распада данного ядра не зависит от времени, прошедшего с начала эксперимента, и от количества ядер, оставшихся в образце.</w:t>
      </w:r>
    </w:p>
    <w:p>
      <w:pPr>
        <w:pStyle w:val="19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Закон радиоактивного распада: если в образце в момент времени t имеется N радиоактивных ядер, то количество ядер dN, распавшихся за время dt, пропорционально N:</w:t>
      </w:r>
    </w:p>
    <w:p>
      <w:pPr>
        <w:pStyle w:val="19"/>
        <w:jc w:val="center"/>
        <w:rPr>
          <w:rFonts w:ascii="Times New Roman" w:hAnsi="Times New Roman" w:eastAsia="DengXian"/>
          <w:b/>
          <w:bCs/>
          <w:i/>
          <w:iCs/>
        </w:rPr>
      </w:pPr>
      <w:r>
        <w:rPr>
          <w:b/>
          <w:bCs/>
          <w:i/>
          <w:iCs/>
        </w:rPr>
        <w:drawing>
          <wp:inline distT="0" distB="0" distL="0" distR="0">
            <wp:extent cx="838835" cy="173990"/>
            <wp:effectExtent l="0" t="0" r="1206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jc w:val="both"/>
        <w:rPr>
          <w:rFonts w:ascii="Times New Roman" w:hAnsi="Times New Roman" w:eastAsia="DengXian"/>
          <w:iCs/>
        </w:rPr>
      </w:pPr>
      <w:r>
        <w:rPr>
          <w:rFonts w:ascii="Times New Roman" w:hAnsi="Times New Roman" w:eastAsia="DengXian"/>
          <w:iCs/>
        </w:rPr>
        <w:t>Проинтегрируем и получим закон радиоактивного распада:</w:t>
      </w:r>
    </w:p>
    <w:p>
      <w:pPr>
        <w:pStyle w:val="19"/>
        <w:jc w:val="center"/>
        <w:rPr>
          <w:rFonts w:ascii="Times New Roman" w:hAnsi="Times New Roman" w:eastAsia="DengXian"/>
          <w:iCs/>
        </w:rPr>
      </w:pPr>
      <w:r>
        <w:drawing>
          <wp:inline distT="0" distB="0" distL="0" distR="0">
            <wp:extent cx="1065530" cy="181610"/>
            <wp:effectExtent l="0" t="0" r="127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jc w:val="both"/>
        <w:rPr>
          <w:rFonts w:ascii="Times New Roman" w:hAnsi="Times New Roman" w:eastAsia="DengXian"/>
          <w:iCs/>
        </w:rPr>
      </w:pPr>
      <w:r>
        <w:rPr>
          <w:rFonts w:ascii="Times New Roman" w:hAnsi="Times New Roman" w:eastAsia="DengXian"/>
          <w:iCs/>
        </w:rPr>
        <w:t xml:space="preserve">Где </w:t>
      </w:r>
      <w:r>
        <w:rPr>
          <w:lang w:val="uz-Latn-U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z-Latn-UZ"/>
              </w:rPr>
            </m:ctrlPr>
          </m:sSubPr>
          <m:e>
            <m:r>
              <m:rPr/>
              <w:rPr>
                <w:rFonts w:ascii="Cambria Math" w:hAnsi="Cambria Math"/>
                <w:lang w:val="uz-Latn-UZ"/>
              </w:rPr>
              <m:t>N</m:t>
            </m:r>
            <m:ctrlPr>
              <w:rPr>
                <w:rFonts w:ascii="Cambria Math" w:hAnsi="Cambria Math"/>
                <w:i/>
                <w:lang w:val="uz-Latn-UZ"/>
              </w:rPr>
            </m:ctrlPr>
          </m:e>
          <m:sub>
            <m:r>
              <m:rPr/>
              <w:rPr>
                <w:rFonts w:ascii="Cambria Math" w:hAnsi="Cambria Math"/>
                <w:lang w:val="uz-Latn-UZ"/>
              </w:rPr>
              <m:t>0</m:t>
            </m:r>
            <m:ctrlPr>
              <w:rPr>
                <w:rFonts w:ascii="Cambria Math" w:hAnsi="Cambria Math"/>
                <w:i/>
                <w:lang w:val="uz-Latn-UZ"/>
              </w:rPr>
            </m:ctrlPr>
          </m:sub>
        </m:sSub>
      </m:oMath>
      <w:r>
        <w:rPr>
          <w:rFonts w:ascii="Times New Roman" w:hAnsi="Times New Roman" w:eastAsia="DengXian"/>
          <w:iCs/>
        </w:rPr>
        <w:t>- количество радиоактивных ядер в момент времени t=0, λ-вероятность распада ядра в единицу времени.</w:t>
      </w:r>
    </w:p>
    <w:p>
      <w:pPr>
        <w:pStyle w:val="19"/>
        <w:jc w:val="center"/>
        <w:rPr>
          <w:rFonts w:ascii="Times New Roman" w:hAnsi="Times New Roman" w:eastAsia="Calibri"/>
        </w:rPr>
      </w:pPr>
      <w:r>
        <w:drawing>
          <wp:inline distT="0" distB="0" distL="0" distR="0">
            <wp:extent cx="2879090" cy="340360"/>
            <wp:effectExtent l="0" t="0" r="381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/>
        </w:rPr>
        <w:t xml:space="preserve"> </w:t>
      </w:r>
    </w:p>
    <w:p>
      <w:pPr>
        <w:pStyle w:val="19"/>
        <w:jc w:val="both"/>
        <w:rPr>
          <w:rFonts w:ascii="Times New Roman" w:hAnsi="Times New Roman" w:eastAsia="Calibri"/>
          <w:b/>
          <w:bCs/>
          <w:i/>
          <w:iCs/>
        </w:rPr>
      </w:pPr>
      <w:r>
        <w:rPr>
          <w:rFonts w:ascii="Times New Roman" w:hAnsi="Times New Roman" w:eastAsia="Calibri"/>
          <w:b/>
          <w:bCs/>
          <w:i/>
          <w:iCs/>
        </w:rPr>
        <w:t xml:space="preserve">Альфа-распад </w:t>
      </w:r>
      <w:r>
        <w:rPr>
          <w:rFonts w:ascii="Times New Roman" w:hAnsi="Times New Roman" w:eastAsia="Calibri"/>
          <w:b/>
          <w:bCs/>
          <w:i/>
          <w:iCs/>
          <w:lang w:val="uz-Latn-UZ"/>
        </w:rPr>
        <w:t>-</w:t>
      </w:r>
      <w:r>
        <w:rPr>
          <w:rFonts w:ascii="Times New Roman" w:hAnsi="Times New Roman" w:eastAsia="Calibri"/>
          <w:b/>
          <w:bCs/>
          <w:i/>
          <w:iCs/>
        </w:rPr>
        <w:t xml:space="preserve"> </w:t>
      </w:r>
      <w:r>
        <w:rPr>
          <w:rFonts w:ascii="Times New Roman" w:hAnsi="Times New Roman" w:eastAsia="DengXian"/>
        </w:rPr>
        <w:t>это самопроизвольное испускание атомными ядрами альфа-частиц (положительно заряженная частица, образованная двумя протонами и двумя нейтронами (ядро атома гелия)).</w:t>
      </w:r>
    </w:p>
    <w:p>
      <w:pPr>
        <w:pStyle w:val="19"/>
        <w:jc w:val="center"/>
        <w:rPr>
          <w:rFonts w:ascii="Times New Roman" w:hAnsi="Times New Roman" w:eastAsia="DengXian"/>
        </w:rPr>
      </w:pPr>
      <w:r>
        <w:drawing>
          <wp:inline distT="0" distB="0" distL="0" distR="0">
            <wp:extent cx="1315085" cy="189230"/>
            <wp:effectExtent l="0" t="0" r="571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jc w:val="center"/>
        <w:rPr>
          <w:rFonts w:ascii="Times New Roman" w:hAnsi="Times New Roman" w:eastAsia="DengXian"/>
        </w:rPr>
      </w:pPr>
      <w:r>
        <w:drawing>
          <wp:inline distT="0" distB="0" distL="0" distR="0">
            <wp:extent cx="1360170" cy="1360170"/>
            <wp:effectExtent l="0" t="0" r="1143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3972" cy="143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  <w:b/>
          <w:bCs/>
          <w:i/>
          <w:iCs/>
        </w:rPr>
        <w:t>Бета-распад</w:t>
      </w:r>
      <w:r>
        <w:rPr>
          <w:rFonts w:ascii="Times New Roman" w:hAnsi="Times New Roman" w:eastAsia="DengXian"/>
        </w:rPr>
        <w:t xml:space="preserve"> – это самопроизвольное испускание атомными ядрами электрона(позитрона) и электронного нейтрино (электронного антинейтрино), при котором номер Z становится на единицу большим или меньшим.</w:t>
      </w:r>
    </w:p>
    <w:p>
      <w:pPr>
        <w:pStyle w:val="19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Есть три типа бета-распада:</w:t>
      </w:r>
    </w:p>
    <w:p>
      <w:pPr>
        <w:pStyle w:val="19"/>
        <w:jc w:val="center"/>
        <w:rPr>
          <w:rFonts w:ascii="Times New Roman" w:hAnsi="Times New Roman" w:eastAsia="DengXian"/>
        </w:rPr>
      </w:pPr>
      <w:r>
        <w:drawing>
          <wp:inline distT="0" distB="0" distL="0" distR="0">
            <wp:extent cx="2123440" cy="226695"/>
            <wp:effectExtent l="0" t="0" r="1016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jc w:val="center"/>
        <w:rPr>
          <w:rFonts w:ascii="Times New Roman" w:hAnsi="Times New Roman" w:eastAsia="DengXian"/>
        </w:rPr>
      </w:pPr>
      <w:r>
        <w:drawing>
          <wp:inline distT="0" distB="0" distL="0" distR="0">
            <wp:extent cx="2440940" cy="226695"/>
            <wp:effectExtent l="0" t="0" r="1016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jc w:val="center"/>
        <w:rPr>
          <w:rFonts w:ascii="Times New Roman" w:hAnsi="Times New Roman" w:eastAsia="DengXian"/>
        </w:rPr>
      </w:pPr>
      <w:r>
        <w:drawing>
          <wp:inline distT="0" distB="0" distL="0" distR="0">
            <wp:extent cx="2305050" cy="226695"/>
            <wp:effectExtent l="0" t="0" r="635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jc w:val="center"/>
        <w:rPr>
          <w:rFonts w:ascii="Times New Roman" w:hAnsi="Times New Roman" w:eastAsia="DengXian"/>
        </w:rPr>
      </w:pPr>
      <w:r>
        <w:drawing>
          <wp:inline distT="0" distB="0" distL="0" distR="0">
            <wp:extent cx="2750820" cy="1987550"/>
            <wp:effectExtent l="0" t="0" r="508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844" cy="20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jc w:val="both"/>
        <w:rPr>
          <w:rFonts w:ascii="Times New Roman" w:hAnsi="Times New Roman" w:eastAsia="Calibri"/>
          <w:lang w:val="uz-Latn-UZ"/>
        </w:rPr>
      </w:pPr>
    </w:p>
    <w:p>
      <w:pPr>
        <w:pStyle w:val="19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b/>
          <w:bCs/>
          <w:i/>
          <w:iCs/>
        </w:rPr>
        <w:t>Гамма-излучение</w:t>
      </w:r>
      <w:r>
        <w:rPr>
          <w:rFonts w:ascii="Times New Roman" w:hAnsi="Times New Roman" w:eastAsia="Calibri"/>
        </w:rPr>
        <w:t xml:space="preserve"> – это поток электромагнитных волн (фотонов высокой энергии). Испускается при переходах между возбужденными состояниями атомных ядер, при ядерных реакциях, при взаимодействиях и распадах элементарных частиц.</w:t>
      </w:r>
    </w:p>
    <w:p>
      <w:pPr>
        <w:pStyle w:val="19"/>
        <w:jc w:val="center"/>
        <w:rPr>
          <w:rFonts w:ascii="Times New Roman" w:hAnsi="Times New Roman" w:eastAsia="Calibri"/>
          <w:b/>
          <w:bCs/>
        </w:rPr>
      </w:pPr>
      <w:r>
        <w:drawing>
          <wp:inline distT="0" distB="0" distL="0" distR="0">
            <wp:extent cx="1163955" cy="189230"/>
            <wp:effectExtent l="0" t="0" r="444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jc w:val="center"/>
        <w:rPr>
          <w:rFonts w:ascii="Times New Roman" w:hAnsi="Times New Roman" w:eastAsia="Calibri"/>
          <w:b/>
          <w:bCs/>
        </w:rPr>
      </w:pPr>
      <w:r>
        <w:drawing>
          <wp:inline distT="0" distB="0" distL="0" distR="0">
            <wp:extent cx="2292985" cy="932815"/>
            <wp:effectExtent l="0" t="0" r="571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0056" cy="9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jc w:val="both"/>
        <w:rPr>
          <w:rFonts w:ascii="Times New Roman" w:hAnsi="Times New Roman" w:eastAsia="Calibri"/>
        </w:rPr>
      </w:pPr>
    </w:p>
    <w:p>
      <w:pPr>
        <w:pStyle w:val="19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lang w:val="uz-Latn-UZ"/>
        </w:rPr>
        <w:t xml:space="preserve">      </w:t>
      </w:r>
      <w:r>
        <w:rPr>
          <w:rFonts w:ascii="Times New Roman" w:hAnsi="Times New Roman" w:eastAsia="Calibri"/>
        </w:rPr>
        <w:t>Для частиц, у которых собственная скорость близка к скорости света (или частица является безмассовой, или кинетическая энергия массивных частиц будет сопоставима или превышать энергию</w:t>
      </w:r>
      <w:r>
        <w:rPr>
          <w:rFonts w:ascii="Times New Roman" w:hAnsi="Times New Roman" w:eastAsia="Calibri"/>
          <w:lang w:val="uz-Latn-UZ"/>
        </w:rPr>
        <w:t xml:space="preserve"> </w:t>
      </w:r>
      <m:oMath>
        <m:r>
          <m:rPr/>
          <w:rPr>
            <w:rFonts w:ascii="Cambria Math" w:hAnsi="Cambria Math" w:eastAsia="Calibri"/>
          </w:rPr>
          <m:t>E=m</m:t>
        </m:r>
        <m:sSup>
          <m:sSupPr>
            <m:ctrlPr>
              <w:rPr>
                <w:rFonts w:ascii="Cambria Math" w:hAnsi="Cambria Math" w:eastAsia="Calibri"/>
                <w:i/>
              </w:rPr>
            </m:ctrlPr>
          </m:sSupPr>
          <m:e>
            <m:r>
              <m:rPr/>
              <w:rPr>
                <w:rFonts w:ascii="Cambria Math" w:hAnsi="Cambria Math" w:eastAsia="Calibri"/>
              </w:rPr>
              <m:t>C</m:t>
            </m:r>
            <m:ctrlPr>
              <w:rPr>
                <w:rFonts w:ascii="Cambria Math" w:hAnsi="Cambria Math" w:eastAsia="Calibri"/>
                <w:i/>
              </w:rPr>
            </m:ctrlPr>
          </m:e>
          <m:sup>
            <m:r>
              <m:rPr/>
              <w:rPr>
                <w:rFonts w:ascii="Cambria Math" w:hAnsi="Cambria Math" w:eastAsia="Calibri"/>
              </w:rPr>
              <m:t>2</m:t>
            </m:r>
            <m:ctrlPr>
              <w:rPr>
                <w:rFonts w:ascii="Cambria Math" w:hAnsi="Cambria Math" w:eastAsia="Calibri"/>
                <w:i/>
              </w:rPr>
            </m:ctrlPr>
          </m:sup>
        </m:sSup>
      </m:oMath>
      <w:r>
        <w:rPr>
          <w:rFonts w:ascii="Times New Roman" w:hAnsi="Times New Roman" w:eastAsia="Calibri"/>
        </w:rPr>
        <w:t xml:space="preserve">, необходимо перейти из классической механики в релятивистскую.В релятивистской механике события происходят в четырехмерном пространстве, объединяющем физическое трехмерное пространство и время. Действуют преобразования Лоренца, из которых мы получим </w:t>
      </w:r>
    </w:p>
    <w:p>
      <w:pPr>
        <w:pStyle w:val="19"/>
        <w:jc w:val="center"/>
      </w:pPr>
      <w:r>
        <w:drawing>
          <wp:inline distT="0" distB="0" distL="0" distR="0">
            <wp:extent cx="1798320" cy="732790"/>
            <wp:effectExtent l="0" t="0" r="508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jc w:val="center"/>
      </w:pPr>
    </w:p>
    <w:p>
      <w:pPr>
        <w:pStyle w:val="19"/>
        <w:jc w:val="both"/>
        <w:rPr>
          <w:rFonts w:ascii="Times New Roman" w:hAnsi="Times New Roman" w:eastAsia="DengXian"/>
          <w:i/>
        </w:rPr>
      </w:pPr>
      <w:r>
        <w:rPr>
          <w:rFonts w:ascii="Times New Roman" w:hAnsi="Times New Roman" w:eastAsia="DengXian"/>
          <w:i/>
        </w:rPr>
        <w:t>Откуда следует формула для скорости:</w:t>
      </w:r>
    </w:p>
    <w:p>
      <w:pPr>
        <w:pStyle w:val="19"/>
        <w:jc w:val="both"/>
        <w:rPr>
          <w:rFonts w:ascii="Times New Roman" w:hAnsi="Times New Roman" w:eastAsia="Calibri"/>
          <w:iCs/>
        </w:rPr>
      </w:pPr>
      <w:r>
        <w:rPr>
          <w:rFonts w:ascii="Times New Roman" w:hAnsi="Times New Roman" w:eastAsia="Calibri"/>
          <w:iCs/>
        </w:rPr>
        <w:t xml:space="preserve"> </w:t>
      </w:r>
    </w:p>
    <w:p>
      <w:pPr>
        <w:pStyle w:val="19"/>
        <w:jc w:val="center"/>
        <w:rPr>
          <w:rFonts w:ascii="Times New Roman" w:hAnsi="Times New Roman" w:eastAsia="DengXian"/>
        </w:rPr>
      </w:pPr>
      <w:r>
        <w:drawing>
          <wp:inline distT="0" distB="0" distL="0" distR="0">
            <wp:extent cx="1375410" cy="702945"/>
            <wp:effectExtent l="0" t="0" r="889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jc w:val="both"/>
      </w:pPr>
      <w:r>
        <w:rPr>
          <w:rFonts w:ascii="Times New Roman" w:hAnsi="Times New Roman" w:eastAsia="DengXian"/>
        </w:rPr>
        <w:t xml:space="preserve">Где </w:t>
      </w:r>
      <m:oMath>
        <m:sSub>
          <m:sSubPr>
            <m:ctrlPr>
              <w:rPr>
                <w:rFonts w:ascii="Cambria Math" w:hAnsi="Cambria Math" w:eastAsia="DengXian"/>
                <w:i/>
              </w:rPr>
            </m:ctrlPr>
          </m:sSubPr>
          <m:e>
            <m:r>
              <m:rPr/>
              <w:rPr>
                <w:rFonts w:ascii="Cambria Math" w:hAnsi="Cambria Math" w:eastAsia="DengXian"/>
              </w:rPr>
              <m:t>E</m:t>
            </m:r>
            <m:ctrlPr>
              <w:rPr>
                <w:rFonts w:ascii="Cambria Math" w:hAnsi="Cambria Math" w:eastAsia="DengXian"/>
                <w:i/>
              </w:rPr>
            </m:ctrlPr>
          </m:e>
          <m:sub>
            <m:r>
              <m:rPr/>
              <w:rPr>
                <w:rFonts w:ascii="Cambria Math" w:hAnsi="Cambria Math" w:eastAsia="DengXian"/>
              </w:rPr>
              <m:t>0</m:t>
            </m:r>
            <m:ctrlPr>
              <w:rPr>
                <w:rFonts w:ascii="Cambria Math" w:hAnsi="Cambria Math" w:eastAsia="DengXian"/>
                <w:i/>
              </w:rPr>
            </m:ctrlPr>
          </m:sub>
        </m:sSub>
      </m:oMath>
      <w:r>
        <w:rPr>
          <w:rFonts w:ascii="Times New Roman" w:hAnsi="Times New Roman" w:eastAsia="DengXian"/>
        </w:rPr>
        <w:t xml:space="preserve">- энергия покоя, </w:t>
      </w:r>
      <m:oMath>
        <m:sSub>
          <m:sSubPr>
            <m:ctrlPr>
              <w:rPr>
                <w:rFonts w:ascii="Cambria Math" w:hAnsi="Cambria Math" w:eastAsia="DengXian"/>
                <w:i/>
              </w:rPr>
            </m:ctrlPr>
          </m:sSubPr>
          <m:e>
            <m:r>
              <m:rPr/>
              <w:rPr>
                <w:rFonts w:ascii="Cambria Math" w:hAnsi="Cambria Math" w:eastAsia="DengXian"/>
              </w:rPr>
              <m:t>E</m:t>
            </m:r>
            <m:ctrlPr>
              <w:rPr>
                <w:rFonts w:ascii="Cambria Math" w:hAnsi="Cambria Math" w:eastAsia="DengXian"/>
                <w:i/>
              </w:rPr>
            </m:ctrlPr>
          </m:e>
          <m:sub>
            <m:r>
              <m:rPr/>
              <w:rPr>
                <w:rFonts w:ascii="Cambria Math" w:hAnsi="Cambria Math" w:eastAsia="DengXian"/>
              </w:rPr>
              <m:t>k</m:t>
            </m:r>
            <m:ctrlPr>
              <w:rPr>
                <w:rFonts w:ascii="Cambria Math" w:hAnsi="Cambria Math" w:eastAsia="DengXian"/>
                <w:i/>
              </w:rPr>
            </m:ctrlPr>
          </m:sub>
        </m:sSub>
      </m:oMath>
      <w:r>
        <w:rPr>
          <w:rFonts w:ascii="Times New Roman" w:hAnsi="Times New Roman" w:eastAsia="DengXian"/>
        </w:rPr>
        <w:t xml:space="preserve">- кинетическая энергия, </w:t>
      </w:r>
    </w:p>
    <w:p>
      <w:pPr>
        <w:pStyle w:val="19"/>
        <w:jc w:val="center"/>
        <w:rPr>
          <w:rFonts w:ascii="Times New Roman" w:hAnsi="Times New Roman" w:eastAsia="DengXian"/>
        </w:rPr>
      </w:pPr>
      <w:r>
        <w:rPr>
          <w:sz w:val="28"/>
          <w:szCs w:val="28"/>
        </w:rPr>
        <w:drawing>
          <wp:inline distT="0" distB="0" distL="0" distR="0">
            <wp:extent cx="612140" cy="287020"/>
            <wp:effectExtent l="0" t="0" r="1016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, </w:t>
      </w:r>
      <w:r>
        <w:rPr>
          <w:rFonts w:ascii="Times New Roman" w:hAnsi="Times New Roman" w:eastAsia="DengXian"/>
          <w:sz w:val="28"/>
          <w:szCs w:val="28"/>
          <w:lang w:val="uz-Latn-UZ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340360" cy="226695"/>
            <wp:effectExtent l="0" t="0" r="254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</w:rPr>
        <w:t xml:space="preserve"> – факторы Лоренца.</w:t>
      </w: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pStyle w:val="19"/>
        <w:jc w:val="both"/>
        <w:rPr>
          <w:rFonts w:ascii="Times New Roman" w:hAnsi="Times New Roman" w:eastAsia="DengXian"/>
        </w:rPr>
      </w:pPr>
    </w:p>
    <w:p>
      <w:pPr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br w:type="page"/>
      </w:r>
    </w:p>
    <w:p>
      <w:pPr>
        <w:pStyle w:val="19"/>
        <w:jc w:val="both"/>
        <w:rPr>
          <w:rFonts w:ascii="Times New Roman" w:hAnsi="Times New Roman" w:eastAsia="DengXian"/>
          <w:highlight w:val="none"/>
        </w:rPr>
      </w:pPr>
      <w:r>
        <w:rPr>
          <w:rFonts w:hint="default" w:ascii="Times New Roman" w:hAnsi="Times New Roman" w:eastAsia="DengXian" w:cs="Times New Roman"/>
          <w:sz w:val="28"/>
          <w:szCs w:val="28"/>
          <w:highlight w:val="none"/>
          <w:lang w:val="uz-Latn-UZ"/>
        </w:rPr>
        <w:t>§</w:t>
      </w:r>
      <w:r>
        <w:rPr>
          <w:rFonts w:hint="default" w:ascii="Times New Roman" w:hAnsi="Times New Roman" w:eastAsia="DengXian" w:cs="Times New Roman"/>
          <w:sz w:val="28"/>
          <w:szCs w:val="28"/>
          <w:highlight w:val="none"/>
        </w:rPr>
        <w:t>2 Знакомст</w:t>
      </w:r>
      <w:r>
        <w:rPr>
          <w:rFonts w:ascii="Times New Roman" w:hAnsi="Times New Roman" w:eastAsia="DengXian"/>
          <w:sz w:val="28"/>
          <w:szCs w:val="28"/>
          <w:highlight w:val="none"/>
        </w:rPr>
        <w:t>во с детектором Medipix MX-10.</w:t>
      </w:r>
      <w:r>
        <w:rPr>
          <w:rFonts w:ascii="Times New Roman" w:hAnsi="Times New Roman" w:eastAsia="DengXian"/>
          <w:highlight w:val="none"/>
        </w:rPr>
        <w:t xml:space="preserve"> </w:t>
      </w:r>
    </w:p>
    <w:p>
      <w:pPr>
        <w:pStyle w:val="21"/>
        <w:ind w:firstLine="708"/>
        <w:jc w:val="both"/>
        <w:rPr>
          <w:rFonts w:ascii="Times New Roman" w:hAnsi="Times New Roman" w:eastAsia="DengXian"/>
          <w:highlight w:val="none"/>
        </w:rPr>
      </w:pPr>
      <w:r>
        <w:rPr>
          <w:rFonts w:ascii="Times New Roman" w:hAnsi="Times New Roman" w:eastAsia="DengXian"/>
          <w:highlight w:val="none"/>
        </w:rPr>
        <w:t xml:space="preserve">В лабораторной работе №2 мы ознакомились с типами детекторов, с детектором Medipix MX-10 и изучили основы работы с программой PIXELMAN. </w:t>
      </w:r>
    </w:p>
    <w:p>
      <w:pPr>
        <w:pStyle w:val="21"/>
        <w:ind w:firstLine="708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Для начала необходимо понять, для чего и зачем нужны детекторы. Так как в силу своих физических возможностей человек не может увидеть или почувствовать частицы без посторонней помощи, то для этого используют специальные устройства – детекторы. Кроме регистрации частицы, он позволяет определить энергии, импульсы, траектории движения и другие характеристики частицы. Регистрация заряженных частиц основана на явлении ионизации или возбуждении атомов, которое они вызывают в веществе детектора. Нейтральные частицы должны сначала провзаимодействовать с веществом, чтобы возникли заряженные частицы, на которые уже может реагировать детектор.</w:t>
      </w:r>
    </w:p>
    <w:p>
      <w:pPr>
        <w:pStyle w:val="15"/>
        <w:numPr>
          <w:ilvl w:val="0"/>
          <w:numId w:val="3"/>
        </w:numPr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  <w:b/>
          <w:bCs/>
          <w:i/>
          <w:iCs/>
        </w:rPr>
        <w:t>Полупроводниковые.</w:t>
      </w:r>
      <w:r>
        <w:rPr>
          <w:rFonts w:ascii="Times New Roman" w:hAnsi="Times New Roman" w:eastAsia="DengXian"/>
          <w:b/>
          <w:bCs/>
        </w:rPr>
        <w:t xml:space="preserve"> </w:t>
      </w:r>
      <w:r>
        <w:rPr>
          <w:rFonts w:ascii="Times New Roman" w:hAnsi="Times New Roman" w:eastAsia="DengXian"/>
        </w:rPr>
        <w:t xml:space="preserve">Принцип работы основан на p-n-переходе. Детектор состоит из слоя полупроводника с нанесенными на него с обеих сторон металлическими электродами, на которые подается напряжение. При попадании частицы в полупроводник, в результате ионизации, образуются неравновесные носители заряда - электроны и дырки. Поданное на электроды детектора напряжение смещения </w:t>
      </w:r>
      <w:r>
        <w:rPr>
          <w:rFonts w:ascii="Times New Roman" w:hAnsi="Times New Roman"/>
        </w:rPr>
        <w:drawing>
          <wp:inline distT="0" distB="0" distL="0" distR="0">
            <wp:extent cx="533400" cy="1752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</w:rPr>
        <w:t xml:space="preserve"> создает в объеме полупроводника электрическое поле Е(х), под действием которого неравновесные носители заряда дрейфуют к соответствующим электродам и наводят заряды на считывающих электродах. Затем в зарядово-чувствительном усилителе импульс тока усиливается и преобразуется в импульс напряжений, который далее обрабатывается электроникой считывания.</w:t>
      </w:r>
    </w:p>
    <w:p>
      <w:pPr>
        <w:pStyle w:val="15"/>
        <w:jc w:val="center"/>
        <w:rPr>
          <w:rFonts w:ascii="Times New Roman" w:hAnsi="Times New Roman" w:eastAsia="DengXian"/>
        </w:rPr>
      </w:pPr>
      <w:r>
        <w:drawing>
          <wp:inline distT="0" distB="0" distL="0" distR="0">
            <wp:extent cx="2162810" cy="1857375"/>
            <wp:effectExtent l="0" t="0" r="889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0886" cy="189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  <w:b/>
          <w:bCs/>
          <w:i/>
          <w:iCs/>
        </w:rPr>
        <w:t>Гибридный пиксельный.</w:t>
      </w:r>
      <w:r>
        <w:rPr>
          <w:rFonts w:ascii="Times New Roman" w:hAnsi="Times New Roman" w:eastAsia="DengXian"/>
        </w:rPr>
        <w:t xml:space="preserve"> Представляет собой плоский полупроводниковый сенсор, один электрод которого покрыт сплошной металлизацией, а другой имеет металлизацию в виде матрицы из отдельных пикселей, что позволяет получать координатную и энергетическую информацию. </w:t>
      </w:r>
    </w:p>
    <w:p>
      <w:pPr>
        <w:pStyle w:val="21"/>
        <w:jc w:val="both"/>
        <w:rPr>
          <w:rFonts w:ascii="Times New Roman" w:hAnsi="Times New Roman" w:eastAsia="DengXian"/>
          <w:b/>
          <w:bCs/>
          <w:i/>
          <w:iCs/>
        </w:rPr>
      </w:pPr>
      <w:r>
        <w:rPr>
          <w:rFonts w:ascii="Times New Roman" w:hAnsi="Times New Roman" w:eastAsia="DengXian"/>
          <w:b/>
          <w:bCs/>
          <w:i/>
          <w:iCs/>
        </w:rPr>
        <w:t>Детектор Medipix MX-10.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 xml:space="preserve">Medipix MX-10 является гибридным пиксельным полупроводниковым детектором ионизирующего излучения. Основным его элементом является кремниевый сенсор, размер которого 14×14 мм, толщина – 300 мкм, и микросхема Timepix. Детектор содержит 256×256 квадратных пикселей размером 55 мкм (т.е. прибор включает в себя более 65 000 отдельных каналов электроники, получающих сигнал из вещества полупроводника). Частицы </w:t>
      </w:r>
      <w:r>
        <w:rPr>
          <w:rFonts w:ascii="Times New Roman" w:hAnsi="Times New Roman"/>
        </w:rPr>
        <w:drawing>
          <wp:inline distT="0" distB="0" distL="0" distR="0">
            <wp:extent cx="83820" cy="175260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</w:rPr>
        <w:t xml:space="preserve">, </w:t>
      </w:r>
      <w:r>
        <w:rPr>
          <w:rFonts w:ascii="Times New Roman" w:hAnsi="Times New Roman"/>
        </w:rPr>
        <w:drawing>
          <wp:inline distT="0" distB="0" distL="0" distR="0">
            <wp:extent cx="83820" cy="175260"/>
            <wp:effectExtent l="0" t="0" r="5080" b="254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</w:rPr>
        <w:t xml:space="preserve">, </w:t>
      </w:r>
      <w:r>
        <w:rPr>
          <w:rFonts w:ascii="Times New Roman" w:hAnsi="Times New Roman"/>
        </w:rPr>
        <w:drawing>
          <wp:inline distT="0" distB="0" distL="0" distR="0">
            <wp:extent cx="76200" cy="175260"/>
            <wp:effectExtent l="0" t="0" r="0" b="254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</w:rPr>
        <w:t xml:space="preserve"> распознаются по характерному следу на экране.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</w:rPr>
      </w:pP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-196215</wp:posOffset>
            </wp:positionH>
            <wp:positionV relativeFrom="line">
              <wp:posOffset>-133350</wp:posOffset>
            </wp:positionV>
            <wp:extent cx="2171700" cy="13335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2019935</wp:posOffset>
            </wp:positionH>
            <wp:positionV relativeFrom="line">
              <wp:posOffset>-114300</wp:posOffset>
            </wp:positionV>
            <wp:extent cx="3924300" cy="13239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</w:rPr>
        <w:tab/>
      </w:r>
      <w:r>
        <w:rPr>
          <w:rFonts w:ascii="Times New Roman" w:hAnsi="Times New Roman" w:eastAsia="DengXian"/>
        </w:rPr>
        <w:t>Принцип работы: под влиянием ионизирующего излучения в кристалле полупроводника создаются электронно-дырочные пары (средняя энергия, необходимая для образования одной пары в кремнии, составляет 3,62 эВ). Под действием приложенного напряжения они перемешаются к электродам детектора, создавая во внешней цепи электрический импульс. Этот импульс усиливается и обрабатывается.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Детектор регистрирует частицы с разной эффективностью:</w:t>
      </w:r>
      <w:r>
        <w:rPr>
          <w:rFonts w:ascii="Times New Roman" w:hAnsi="Times New Roman" w:eastAsia="DengXian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40425" cy="980440"/>
            <wp:effectExtent l="0" t="0" r="3175" b="1016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Для контроля и управления детектором сотрудники Института экспериментальной и прикладной физики (Чешский университет в Праге) разработали программное обеспечение Pixelman.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Пользовательский интерфейс Pixelman: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0" cy="198120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1. Визуализация зарегистрированных событий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2. Панель управления. Дает возможность установить параметры измерений. Перед началом сеанса эти параметры, в зависимости от задачи эксперименты, перенастраиваются.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3. Панель настройки изображения. Позволяет установить значение яркости и цветовой шкалы изображения.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4. Панель анализа. Содержит таблицу с информацией о количестве и типе частиц в текущем кадре и во всех кадрах.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5. Информационное поле. Показывает общую энергию, количество частиц и ненулевых пикселей.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6. Панель меню.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7. Кнопка запуска измерений.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 xml:space="preserve"> </w:t>
      </w:r>
    </w:p>
    <w:p>
      <w:pPr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br w:type="page"/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  <w:sz w:val="28"/>
          <w:szCs w:val="28"/>
        </w:rPr>
        <w:t>Визуализация частиц:</w:t>
      </w:r>
      <w:r>
        <w:rPr>
          <w:rFonts w:ascii="Times New Roman" w:hAnsi="Times New Roman" w:eastAsia="DengXian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Визуализация частиц (альфа, бета и гамма) разная. Это с разными характеристиками частиц:</w:t>
      </w:r>
    </w:p>
    <w:p>
      <w:pPr>
        <w:pStyle w:val="15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 xml:space="preserve">Альфа-частица оставляет всю свою энергию в детекторе и полностью останавливается, поэтому мы видим след в виде больших круглых «капель». (1) </w:t>
      </w:r>
    </w:p>
    <w:p>
      <w:pPr>
        <w:pStyle w:val="15"/>
        <w:ind w:left="283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posOffset>935990</wp:posOffset>
            </wp:positionH>
            <wp:positionV relativeFrom="line">
              <wp:posOffset>84455</wp:posOffset>
            </wp:positionV>
            <wp:extent cx="3082925" cy="1816735"/>
            <wp:effectExtent l="0" t="0" r="3175" b="1206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jc w:val="both"/>
        <w:rPr>
          <w:rFonts w:ascii="Times New Roman" w:hAnsi="Times New Roman" w:eastAsia="DengXian"/>
        </w:rPr>
      </w:pPr>
    </w:p>
    <w:p>
      <w:pPr>
        <w:pStyle w:val="15"/>
        <w:jc w:val="both"/>
        <w:rPr>
          <w:rFonts w:ascii="Times New Roman" w:hAnsi="Times New Roman" w:eastAsia="DengXian"/>
        </w:rPr>
      </w:pPr>
    </w:p>
    <w:p>
      <w:pPr>
        <w:pStyle w:val="15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Бета-частицы оставляют только часть своей энергии в детекторе и еще меняют свое направление, поэтому они отображаются как кривая линия. (2)</w:t>
      </w:r>
    </w:p>
    <w:p>
      <w:pPr>
        <w:pStyle w:val="15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912495</wp:posOffset>
            </wp:positionH>
            <wp:positionV relativeFrom="paragraph">
              <wp:posOffset>186690</wp:posOffset>
            </wp:positionV>
            <wp:extent cx="3117850" cy="1640840"/>
            <wp:effectExtent l="0" t="0" r="6350" b="1016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5"/>
        <w:jc w:val="both"/>
        <w:rPr>
          <w:rFonts w:ascii="Times New Roman" w:hAnsi="Times New Roman" w:eastAsia="DengXian"/>
        </w:rPr>
      </w:pPr>
    </w:p>
    <w:p>
      <w:pPr>
        <w:pStyle w:val="15"/>
        <w:ind w:left="28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ind w:left="643"/>
        <w:jc w:val="both"/>
        <w:rPr>
          <w:rFonts w:ascii="Times New Roman" w:hAnsi="Times New Roman" w:eastAsia="DengXian"/>
        </w:rPr>
      </w:pPr>
    </w:p>
    <w:p>
      <w:pPr>
        <w:pStyle w:val="15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Так как детектор регистрирует заряженные частицы, что сами гамма-кванты регистрировать нельзя. Следы их занимают один пиксель. (3)</w:t>
      </w:r>
    </w:p>
    <w:p>
      <w:pPr>
        <w:pStyle w:val="15"/>
        <w:ind w:left="643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margin">
              <wp:posOffset>1029970</wp:posOffset>
            </wp:positionH>
            <wp:positionV relativeFrom="paragraph">
              <wp:posOffset>55245</wp:posOffset>
            </wp:positionV>
            <wp:extent cx="3106420" cy="1629410"/>
            <wp:effectExtent l="0" t="0" r="508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1"/>
        <w:jc w:val="both"/>
        <w:rPr>
          <w:rFonts w:ascii="Times New Roman" w:hAnsi="Times New Roman" w:eastAsia="DengXian"/>
        </w:rPr>
      </w:pPr>
    </w:p>
    <w:p>
      <w:pPr>
        <w:pStyle w:val="21"/>
        <w:jc w:val="both"/>
        <w:rPr>
          <w:rFonts w:ascii="Times New Roman" w:hAnsi="Times New Roman" w:eastAsia="DengXian"/>
        </w:rPr>
      </w:pPr>
    </w:p>
    <w:p>
      <w:pPr>
        <w:pStyle w:val="21"/>
        <w:jc w:val="both"/>
        <w:rPr>
          <w:rFonts w:ascii="Times New Roman" w:hAnsi="Times New Roman" w:eastAsia="DengXian"/>
        </w:rPr>
      </w:pPr>
    </w:p>
    <w:p>
      <w:pPr>
        <w:pStyle w:val="21"/>
        <w:jc w:val="both"/>
        <w:rPr>
          <w:rFonts w:ascii="Times New Roman" w:hAnsi="Times New Roman" w:eastAsia="DengXian"/>
        </w:rPr>
      </w:pPr>
    </w:p>
    <w:p>
      <w:pPr>
        <w:pStyle w:val="21"/>
        <w:jc w:val="both"/>
        <w:rPr>
          <w:rFonts w:ascii="Times New Roman" w:hAnsi="Times New Roman" w:eastAsia="DengXian"/>
        </w:rPr>
      </w:pP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t>После сохранения данных мы можем их обработать и на их основе получить гистограммы энергий и размеров частиц, их количества.</w:t>
      </w:r>
    </w:p>
    <w:p>
      <w:pPr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br w:type="page"/>
      </w:r>
    </w:p>
    <w:p>
      <w:pPr>
        <w:pStyle w:val="21"/>
        <w:jc w:val="both"/>
        <w:rPr>
          <w:rFonts w:ascii="Times New Roman" w:hAnsi="Times New Roman" w:eastAsia="DengXian"/>
          <w:sz w:val="32"/>
          <w:szCs w:val="32"/>
        </w:rPr>
      </w:pPr>
      <w:r>
        <w:rPr>
          <w:rFonts w:ascii="Arial" w:hAnsi="Arial" w:eastAsia="DengXian" w:cs="Arial"/>
          <w:sz w:val="32"/>
          <w:szCs w:val="32"/>
        </w:rPr>
        <w:t>§</w:t>
      </w:r>
      <w:r>
        <w:rPr>
          <w:rFonts w:ascii="Times New Roman" w:hAnsi="Times New Roman" w:eastAsia="DengXian"/>
          <w:sz w:val="32"/>
          <w:szCs w:val="32"/>
        </w:rPr>
        <w:t>3. Знакомство с маломощными радиоактивными источниками</w:t>
      </w:r>
    </w:p>
    <w:p>
      <w:pPr>
        <w:pStyle w:val="21"/>
        <w:ind w:firstLine="708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  <w:sz w:val="28"/>
          <w:szCs w:val="28"/>
          <w:highlight w:val="none"/>
        </w:rPr>
        <w:t>В лабораторной работе №</w:t>
      </w:r>
      <w:r>
        <w:rPr>
          <w:rFonts w:hint="default" w:ascii="Times New Roman" w:hAnsi="Times New Roman" w:eastAsia="DengXian"/>
          <w:sz w:val="28"/>
          <w:szCs w:val="28"/>
          <w:highlight w:val="none"/>
          <w:lang w:val="uz-Latn-UZ"/>
        </w:rPr>
        <w:t>3</w:t>
      </w:r>
      <w:r>
        <w:rPr>
          <w:rFonts w:ascii="Times New Roman" w:hAnsi="Times New Roman" w:eastAsia="DengXian"/>
          <w:sz w:val="28"/>
          <w:szCs w:val="28"/>
          <w:highlight w:val="none"/>
        </w:rPr>
        <w:t xml:space="preserve"> про</w:t>
      </w:r>
      <w:r>
        <w:rPr>
          <w:rFonts w:ascii="Times New Roman" w:hAnsi="Times New Roman" w:eastAsia="DengXian"/>
          <w:sz w:val="28"/>
          <w:szCs w:val="28"/>
        </w:rPr>
        <w:t>веден эксперимент с детектором Medipix MX-10 с использованием маломощных источников излучения (урановое стекло, ториевый стержень и сульфат калия).</w:t>
      </w:r>
    </w:p>
    <w:p>
      <w:pPr>
        <w:pStyle w:val="21"/>
        <w:jc w:val="both"/>
        <w:rPr>
          <w:rFonts w:ascii="Times New Roman" w:hAnsi="Times New Roman" w:eastAsia="DengXian"/>
        </w:rPr>
      </w:pPr>
      <w:r>
        <w:rPr>
          <w:rFonts w:ascii="Times New Roman" w:hAnsi="Times New Roman" w:eastAsia="DengXian"/>
          <w:i/>
          <w:iCs/>
          <w:sz w:val="28"/>
          <w:szCs w:val="28"/>
        </w:rPr>
        <w:t>Урановое стекло</w:t>
      </w:r>
      <w:r>
        <w:rPr>
          <w:rFonts w:ascii="Times New Roman" w:hAnsi="Times New Roman" w:eastAsia="DengXian"/>
          <w:sz w:val="28"/>
          <w:szCs w:val="28"/>
        </w:rPr>
        <w:t xml:space="preserve">. Распад урана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16865" cy="199390"/>
            <wp:effectExtent l="0" t="0" r="635" b="381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16865" cy="199390"/>
            <wp:effectExtent l="0" t="0" r="635" b="381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>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В урановом стекле происходят все три типа радиоактивного распада, потому что в стекле содержатся все радионуклиды из рядов распада урана. Оба ряда (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16865" cy="199390"/>
            <wp:effectExtent l="0" t="0" r="635" b="381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16865" cy="199390"/>
            <wp:effectExtent l="0" t="0" r="635" b="381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>) заканчиваются изотоп свинца (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90525" cy="199390"/>
            <wp:effectExtent l="0" t="0" r="3175" b="381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90525" cy="199390"/>
            <wp:effectExtent l="0" t="0" r="3175" b="381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>). В веществах, содержащих уран, его количество со временем уменьшается, а количество свинца увеличивается.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i/>
          <w:iCs/>
          <w:sz w:val="28"/>
          <w:szCs w:val="28"/>
        </w:rPr>
        <w:t>Ториевый стержень</w:t>
      </w:r>
      <w:r>
        <w:rPr>
          <w:rFonts w:ascii="Times New Roman" w:hAnsi="Times New Roman" w:eastAsia="DengXian"/>
          <w:sz w:val="28"/>
          <w:szCs w:val="28"/>
        </w:rPr>
        <w:t>. Распад тория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83540" cy="199390"/>
            <wp:effectExtent l="0" t="0" r="10160" b="3810"/>
            <wp:docPr id="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>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В ториевом стержне также встречаются все три типа радиоактивности. Ряд распада заканчивается изотопов свинца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90525" cy="199390"/>
            <wp:effectExtent l="0" t="0" r="3175" b="381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. Наряду с использованием тория в радиоизотопном датировании, его используют как ядерное топливное сырье, которое при поглощении нейтронов превращается в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16865" cy="199390"/>
            <wp:effectExtent l="0" t="0" r="635" b="381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>, который, в свою очередь, является основой уран-ториевого топливного цикла.</w:t>
      </w:r>
    </w:p>
    <w:p>
      <w:pPr>
        <w:pStyle w:val="21"/>
        <w:jc w:val="both"/>
        <w:rPr>
          <w:rFonts w:ascii="Times New Roman" w:hAnsi="Times New Roman" w:eastAsia="DengXian"/>
          <w:i/>
          <w:sz w:val="28"/>
          <w:szCs w:val="28"/>
        </w:rPr>
      </w:pPr>
      <w:r>
        <w:rPr>
          <w:rFonts w:ascii="Times New Roman" w:hAnsi="Times New Roman" w:eastAsia="DengXian"/>
          <w:i/>
          <w:iCs/>
          <w:sz w:val="28"/>
          <w:szCs w:val="28"/>
        </w:rPr>
        <w:t>Сульфат калия</w:t>
      </w:r>
      <w:r>
        <w:rPr>
          <w:rFonts w:ascii="Times New Roman" w:hAnsi="Times New Roman" w:eastAsia="DengXian"/>
          <w:sz w:val="28"/>
          <w:szCs w:val="28"/>
        </w:rPr>
        <w:t xml:space="preserve">. Распад калия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257810" cy="199390"/>
            <wp:effectExtent l="0" t="0" r="8890" b="3810"/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Сульфат калия- удобрение, в состав которого входит изотоп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257810" cy="199390"/>
            <wp:effectExtent l="0" t="0" r="8890" b="381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(содержание в удобрении -0.05%). С вероятностью 89,28+-0,13% он распадается через бета-  распад в кальций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61315" cy="199390"/>
            <wp:effectExtent l="0" t="0" r="6985" b="3810"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i/>
          <w:iCs/>
          <w:sz w:val="28"/>
          <w:szCs w:val="28"/>
        </w:rPr>
        <w:t>Эксперимент</w:t>
      </w:r>
      <w:r>
        <w:rPr>
          <w:rFonts w:ascii="Times New Roman" w:hAnsi="Times New Roman" w:eastAsia="DengXian"/>
          <w:sz w:val="28"/>
          <w:szCs w:val="28"/>
        </w:rPr>
        <w:t xml:space="preserve">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Был проведен эксперимент для сравнения полученной скорости альфа и бета-частиц со скоростью света для каждого источника.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Выберем параметры для проведения эксперимента: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086350" cy="866775"/>
            <wp:effectExtent l="0" t="0" r="6350" b="9525"/>
            <wp:wrapSquare wrapText="bothSides"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  <w:r>
        <w:rPr>
          <w:rFonts w:ascii="Times New Roman" w:hAnsi="Times New Roman" w:eastAsia="DengXian"/>
          <w:sz w:val="28"/>
          <w:szCs w:val="28"/>
          <w:lang w:val="uz-Latn-UZ"/>
        </w:rPr>
        <w:t xml:space="preserve">   </w:t>
      </w:r>
      <w:r>
        <w:rPr>
          <w:rFonts w:ascii="Times New Roman" w:hAnsi="Times New Roman" w:eastAsia="DengXian"/>
          <w:sz w:val="28"/>
          <w:szCs w:val="28"/>
        </w:rPr>
        <w:t>Построим спектры энергии для частиц, где определим энергию по максимуму пика на гистограмме: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2938780</wp:posOffset>
            </wp:positionH>
            <wp:positionV relativeFrom="line">
              <wp:posOffset>429895</wp:posOffset>
            </wp:positionV>
            <wp:extent cx="2976880" cy="2172335"/>
            <wp:effectExtent l="0" t="0" r="7620" b="12065"/>
            <wp:wrapSquare wrapText="bothSides"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>Урановое: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77470</wp:posOffset>
            </wp:positionV>
            <wp:extent cx="2883535" cy="2140585"/>
            <wp:effectExtent l="0" t="0" r="12065" b="5715"/>
            <wp:wrapSquare wrapText="bothSides"/>
            <wp:docPr id="4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Ториевый: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72576" behindDoc="1" locked="0" layoutInCell="1" allowOverlap="0">
            <wp:simplePos x="0" y="0"/>
            <wp:positionH relativeFrom="column">
              <wp:posOffset>-57150</wp:posOffset>
            </wp:positionH>
            <wp:positionV relativeFrom="line">
              <wp:posOffset>55880</wp:posOffset>
            </wp:positionV>
            <wp:extent cx="2862580" cy="2255520"/>
            <wp:effectExtent l="0" t="0" r="7620" b="5080"/>
            <wp:wrapNone/>
            <wp:docPr id="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-22860</wp:posOffset>
            </wp:positionH>
            <wp:positionV relativeFrom="line">
              <wp:posOffset>78105</wp:posOffset>
            </wp:positionV>
            <wp:extent cx="3009900" cy="2190750"/>
            <wp:effectExtent l="0" t="0" r="0" b="6350"/>
            <wp:wrapSquare wrapText="bothSides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74624" behindDoc="1" locked="0" layoutInCell="1" allowOverlap="0">
            <wp:simplePos x="0" y="0"/>
            <wp:positionH relativeFrom="margin">
              <wp:posOffset>46355</wp:posOffset>
            </wp:positionH>
            <wp:positionV relativeFrom="line">
              <wp:posOffset>268605</wp:posOffset>
            </wp:positionV>
            <wp:extent cx="3025775" cy="1674495"/>
            <wp:effectExtent l="0" t="0" r="9525" b="1905"/>
            <wp:wrapNone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70528" behindDoc="1" locked="0" layoutInCell="1" allowOverlap="0">
            <wp:simplePos x="0" y="0"/>
            <wp:positionH relativeFrom="column">
              <wp:posOffset>3110865</wp:posOffset>
            </wp:positionH>
            <wp:positionV relativeFrom="line">
              <wp:posOffset>274955</wp:posOffset>
            </wp:positionV>
            <wp:extent cx="2820035" cy="2038985"/>
            <wp:effectExtent l="0" t="0" r="12065" b="5715"/>
            <wp:wrapNone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>Сульфат калия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br w:type="page"/>
      </w:r>
    </w:p>
    <w:p>
      <w:pPr>
        <w:pStyle w:val="21"/>
        <w:ind w:firstLine="708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По полученным данным мы можем рассчитать скорость альфа и бета-частиц от уранового стекла и ториевого стержня, скорость бета-частиц от сульфата калия по формуле из релятивистской механики:</w:t>
      </w:r>
    </w:p>
    <w:p>
      <w:pPr>
        <w:pStyle w:val="21"/>
        <w:jc w:val="center"/>
        <w:rPr>
          <w:rFonts w:ascii="Times New Roman" w:hAnsi="Times New Roman" w:eastAsia="DengXian"/>
          <w:sz w:val="28"/>
          <w:szCs w:val="28"/>
          <w:lang w:val="uz-Latn-UZ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1371600" cy="708025"/>
            <wp:effectExtent l="0" t="0" r="0" b="3175"/>
            <wp:docPr id="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Получим, что:</w:t>
      </w: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Для уранового стекла -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1275715" cy="191770"/>
            <wp:effectExtent l="0" t="0" r="6985" b="11430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,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1275715" cy="206375"/>
            <wp:effectExtent l="0" t="0" r="6985" b="9525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Для ториевого стержня -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1371600" cy="191770"/>
            <wp:effectExtent l="0" t="0" r="0" b="1143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,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1202055" cy="206375"/>
            <wp:effectExtent l="0" t="0" r="4445" b="9525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Для сульфата калия -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1371600" cy="206375"/>
            <wp:effectExtent l="0" t="0" r="0" b="9525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Для уранового стекла мы можем оценить скорость альфа и бета-частиц со скоростью свет. Так, скорость альфа-частицы составляет 3,3 % от скорости света, а бета-частица составляет 53% от скорости света.</w:t>
      </w: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br w:type="page"/>
      </w:r>
    </w:p>
    <w:p>
      <w:pPr>
        <w:pStyle w:val="22"/>
        <w:rPr>
          <w:rFonts w:ascii="Times New Roman" w:hAnsi="Times New Roman" w:eastAsia="DengXian" w:cs="Times New Roman"/>
          <w:sz w:val="32"/>
          <w:szCs w:val="32"/>
        </w:rPr>
      </w:pPr>
      <w:r>
        <w:rPr>
          <w:rFonts w:ascii="Times New Roman" w:hAnsi="Times New Roman" w:eastAsia="DengXian" w:cs="Times New Roman"/>
          <w:b w:val="0"/>
          <w:bCs w:val="0"/>
          <w:sz w:val="32"/>
          <w:szCs w:val="32"/>
        </w:rPr>
        <w:t>§4. Знакомство с америциевым источником</w:t>
      </w:r>
    </w:p>
    <w:p>
      <w:pPr>
        <w:pStyle w:val="22"/>
        <w:rPr>
          <w:rFonts w:ascii="Times New Roman" w:hAnsi="Times New Roman" w:eastAsia="DengXi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DengXian"/>
          <w:b w:val="0"/>
          <w:bCs w:val="0"/>
          <w:sz w:val="28"/>
          <w:szCs w:val="28"/>
          <w:highlight w:val="none"/>
        </w:rPr>
        <w:t>В лабораторной работе №</w:t>
      </w:r>
      <w:r>
        <w:rPr>
          <w:rFonts w:hint="default" w:ascii="Times New Roman" w:hAnsi="Times New Roman" w:eastAsia="DengXian"/>
          <w:b w:val="0"/>
          <w:bCs w:val="0"/>
          <w:sz w:val="28"/>
          <w:szCs w:val="28"/>
          <w:highlight w:val="none"/>
          <w:lang w:val="uz-Latn-UZ"/>
        </w:rPr>
        <w:t>4</w:t>
      </w:r>
      <w:r>
        <w:rPr>
          <w:rFonts w:ascii="Times New Roman" w:hAnsi="Times New Roman" w:eastAsia="DengXian" w:cs="Times New Roman"/>
          <w:b w:val="0"/>
          <w:bCs w:val="0"/>
          <w:sz w:val="28"/>
          <w:szCs w:val="28"/>
          <w:highlight w:val="none"/>
        </w:rPr>
        <w:t xml:space="preserve"> были проведены эксперименты по опреде</w:t>
      </w:r>
      <w:r>
        <w:rPr>
          <w:rFonts w:ascii="Times New Roman" w:hAnsi="Times New Roman" w:eastAsia="DengXian" w:cs="Times New Roman"/>
          <w:b w:val="0"/>
          <w:bCs w:val="0"/>
          <w:sz w:val="28"/>
          <w:szCs w:val="28"/>
        </w:rPr>
        <w:t>лению типа частиц и их энергии от данного типа, и по изучению коллимации частиц.</w:t>
      </w:r>
    </w:p>
    <w:p>
      <w:pPr>
        <w:pStyle w:val="22"/>
        <w:rPr>
          <w:rFonts w:ascii="Times New Roman" w:hAnsi="Times New Roman" w:eastAsia="DengXian" w:cs="Times New Roman"/>
          <w:b w:val="0"/>
          <w:bCs w:val="0"/>
          <w:sz w:val="32"/>
          <w:szCs w:val="32"/>
        </w:rPr>
      </w:pPr>
      <w:r>
        <w:rPr>
          <w:rFonts w:ascii="Times New Roman" w:hAnsi="Times New Roman" w:eastAsia="DengXian" w:cs="Times New Roman"/>
          <w:b w:val="0"/>
          <w:bCs w:val="0"/>
          <w:i/>
          <w:iCs/>
          <w:sz w:val="28"/>
          <w:szCs w:val="28"/>
        </w:rPr>
        <w:t>Радиоактивный источник америций-241</w:t>
      </w:r>
      <w:r>
        <w:rPr>
          <w:rFonts w:ascii="Times New Roman" w:hAnsi="Times New Roman" w:eastAsia="DengXian" w:cs="Times New Roman"/>
          <w:b w:val="0"/>
          <w:bCs w:val="0"/>
          <w:sz w:val="28"/>
          <w:szCs w:val="28"/>
        </w:rPr>
        <w:t xml:space="preserve"> расположен в дюралюминии. Активность источника – 9.5кБк. Экранировать или пропускать поток частиц позволяет вращающаяся латунная защитная крышка. Она имеет 4 положения:</w:t>
      </w:r>
    </w:p>
    <w:p>
      <w:pPr>
        <w:pStyle w:val="15"/>
        <w:numPr>
          <w:ilvl w:val="0"/>
          <w:numId w:val="4"/>
        </w:numPr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положение: источник закрыт, частицы не выходят.  </w:t>
      </w:r>
    </w:p>
    <w:p>
      <w:pPr>
        <w:pStyle w:val="15"/>
        <w:numPr>
          <w:ilvl w:val="0"/>
          <w:numId w:val="4"/>
        </w:numPr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положение: частицы выходят через 13 отверстий диаметром 2мм. Наиболее интенсивный поток частиц.  </w:t>
      </w:r>
    </w:p>
    <w:p>
      <w:pPr>
        <w:pStyle w:val="15"/>
        <w:numPr>
          <w:ilvl w:val="0"/>
          <w:numId w:val="4"/>
        </w:numPr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положение: частицы выходят через одно отверстие в форме короткого цилиндра диаметром 2мм.   </w:t>
      </w:r>
    </w:p>
    <w:p>
      <w:pPr>
        <w:pStyle w:val="15"/>
        <w:numPr>
          <w:ilvl w:val="0"/>
          <w:numId w:val="4"/>
        </w:numPr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1417320</wp:posOffset>
            </wp:positionH>
            <wp:positionV relativeFrom="paragraph">
              <wp:posOffset>798830</wp:posOffset>
            </wp:positionV>
            <wp:extent cx="1409700" cy="1895475"/>
            <wp:effectExtent l="0" t="0" r="0" b="9525"/>
            <wp:wrapSquare wrapText="bothSides"/>
            <wp:docPr id="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положение: частицы выходят через одно отверстие в форме длинного </w:t>
      </w: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margin">
              <wp:align>right</wp:align>
            </wp:positionH>
            <wp:positionV relativeFrom="line">
              <wp:posOffset>596265</wp:posOffset>
            </wp:positionV>
            <wp:extent cx="1381125" cy="1895475"/>
            <wp:effectExtent l="0" t="0" r="3175" b="9525"/>
            <wp:wrapSquare wrapText="bothSides"/>
            <wp:docPr id="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margin">
              <wp:posOffset>2952115</wp:posOffset>
            </wp:positionH>
            <wp:positionV relativeFrom="line">
              <wp:posOffset>593090</wp:posOffset>
            </wp:positionV>
            <wp:extent cx="1419225" cy="1895475"/>
            <wp:effectExtent l="0" t="0" r="3175" b="952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-110490</wp:posOffset>
            </wp:positionH>
            <wp:positionV relativeFrom="line">
              <wp:posOffset>567055</wp:posOffset>
            </wp:positionV>
            <wp:extent cx="1352550" cy="1895475"/>
            <wp:effectExtent l="0" t="0" r="6350" b="9525"/>
            <wp:wrapSquare wrapText="bothSides"/>
            <wp:docPr id="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>цилиндра диаметром 2мм.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Период полураспада америция – 432,6 года. Распадаясь, он испускает альфа-частицы (у большинства энергия около 5,5 МэВ) и мягкие гамма-кванты с энергией 60 кэВ. Такой радиоактивный источник применяется в контрольно-измерительных и исследовательских приборах (например, для измерения толщины различных материалов), для снятия электростатических зарядов при производстве пластмасс, синтетических пленок и бумаги.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  <w:r>
        <w:rPr>
          <w:rFonts w:ascii="Times New Roman" w:hAnsi="Times New Roman" w:eastAsia="DengXian"/>
          <w:i/>
          <w:iCs/>
          <w:sz w:val="28"/>
          <w:szCs w:val="28"/>
        </w:rPr>
        <w:t>Эксперимент №1</w:t>
      </w:r>
      <w:r>
        <w:rPr>
          <w:rFonts w:ascii="Times New Roman" w:hAnsi="Times New Roman" w:eastAsia="DengXian"/>
          <w:sz w:val="28"/>
          <w:szCs w:val="28"/>
        </w:rPr>
        <w:t>: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Задача – рассчитать скорость альфа-частиц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77696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255905</wp:posOffset>
            </wp:positionV>
            <wp:extent cx="4476750" cy="819150"/>
            <wp:effectExtent l="0" t="0" r="6350" b="6350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Параметры эксперимента: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ind w:firstLine="708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Так как америций более активный источник, чем в предыдущих экспериментов, то необходимо сократить длительность экспозиции, чтобы избежать наложения частиц друг на друга.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Из-за того, что источник излучает три типа частиц из-за чего мы получим большой диапазон энергий, то необходимо увеличить диапазон уровня яркости.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По полученным данным были построены спектры энергий частиц и определена энергия по максимуму пика на гистограмме.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554095" cy="1998345"/>
            <wp:effectExtent l="0" t="0" r="1905" b="8255"/>
            <wp:docPr id="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Ширина пиков на гистограмме может определяется погрешностью измерения прибора и не моноэнергетичностью пучка.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По данной нам гистограмме определим энергию альфа-частиц: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810895" cy="191770"/>
            <wp:effectExtent l="0" t="0" r="1905" b="11430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. Далее по формулам из релятивистской механики рассчитаем скорость </w:t>
      </w:r>
      <w:r>
        <w:rPr>
          <w:rFonts w:ascii="Times New Roman" w:hAnsi="Times New Roman" w:eastAsia="DengXian"/>
          <w:sz w:val="28"/>
          <w:szCs w:val="28"/>
          <w:lang w:val="uz-Latn-UZ"/>
        </w:rPr>
        <w:t xml:space="preserve">    </w:t>
      </w:r>
      <w:r>
        <w:rPr>
          <w:rFonts w:ascii="Times New Roman" w:hAnsi="Times New Roman" w:eastAsia="DengXian"/>
          <w:sz w:val="28"/>
          <w:szCs w:val="28"/>
        </w:rPr>
        <w:t>частицы:</w:t>
      </w:r>
    </w:p>
    <w:p>
      <w:pPr>
        <w:pStyle w:val="21"/>
        <w:jc w:val="center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1371600" cy="708025"/>
            <wp:effectExtent l="0" t="0" r="0" b="3175"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Так, скорость альфа составит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48970" cy="184150"/>
            <wp:effectExtent l="0" t="0" r="11430" b="6350"/>
            <wp:docPr id="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м/с.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Эксперимент №2: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Задача: определить угол расхождения для альфа- и гамма-частицы. (для гамма-частиц необходимо экранировать альфа-частицы листом бумаги (между детектором и источником)).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85825" cy="590550"/>
            <wp:effectExtent l="0" t="0" r="3175" b="6350"/>
            <wp:wrapSquare wrapText="bothSides"/>
            <wp:docPr id="6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Для нахождения угла расхождения альфа-частицы используем те же параметры эксперимента, что и в предыдущем, кроме: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Чтобы правильно определить угол необходимо набрать статистику из всех кадров.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8325" cy="542925"/>
            <wp:effectExtent l="0" t="0" r="3175" b="3175"/>
            <wp:wrapSquare wrapText="bothSides"/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Для нахождения угла расхождения гамма-частицы используем также параметры предыдущего эксперимента, кроме: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1) Так как диффузия вносит большой вклад в увеличении облака носителей заряда, учитывая особенности регистрации пиксельными детекторами гамма-квантов, след от квантов может занимать несколько соседних пикселей, что плохо влияет на энергетическое и пространственное разрешение. Уменьшить влияние диффузии мы можем повысить напряжение смещения до 50В, что является оптимальным значением BIAS для данного излучения.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2) Следы гамма-квантов занимают меньше пикселей, чем альфа-частицы, так как источник излучает гамма-лучей меньше, чем альфа. Чтобы увеличить следы в кадре необходимо увеличить длительность экспозиции.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3) Без альфа-частиц диапазон энергий будет невелик, поэтому нужно уменьшить диапазон уровней яркости.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Результаты эксперимента:</w:t>
      </w:r>
      <w:r>
        <w:rPr>
          <w:rFonts w:ascii="Times New Roman" w:hAnsi="Times New Roman" w:eastAsia="Calibri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3141980</wp:posOffset>
            </wp:positionH>
            <wp:positionV relativeFrom="line">
              <wp:posOffset>213360</wp:posOffset>
            </wp:positionV>
            <wp:extent cx="2789555" cy="1675765"/>
            <wp:effectExtent l="0" t="0" r="4445" b="635"/>
            <wp:wrapSquare wrapText="bothSides"/>
            <wp:docPr id="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/>
          <w:sz w:val="28"/>
          <w:szCs w:val="28"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551180</wp:posOffset>
            </wp:positionH>
            <wp:positionV relativeFrom="line">
              <wp:posOffset>250190</wp:posOffset>
            </wp:positionV>
            <wp:extent cx="2581910" cy="1699260"/>
            <wp:effectExtent l="0" t="0" r="8890" b="2540"/>
            <wp:wrapSquare wrapText="bothSides"/>
            <wp:docPr id="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</w:p>
    <w:p>
      <w:pPr>
        <w:pStyle w:val="21"/>
        <w:jc w:val="both"/>
        <w:rPr>
          <w:rFonts w:ascii="Times New Roman" w:hAnsi="Times New Roman"/>
          <w:sz w:val="28"/>
          <w:szCs w:val="28"/>
          <w:lang w:val="uz-Latn-UZ"/>
        </w:rPr>
      </w:pPr>
      <w:r>
        <w:rPr>
          <w:rFonts w:ascii="Times New Roman" w:hAnsi="Times New Roman"/>
          <w:sz w:val="28"/>
          <w:szCs w:val="28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1866265</wp:posOffset>
            </wp:positionH>
            <wp:positionV relativeFrom="paragraph">
              <wp:posOffset>365125</wp:posOffset>
            </wp:positionV>
            <wp:extent cx="1989455" cy="574040"/>
            <wp:effectExtent l="0" t="0" r="4445" b="10160"/>
            <wp:wrapNone/>
            <wp:docPr id="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>Найдем угол расхождения по формуле:</w:t>
      </w:r>
      <w:r>
        <w:rPr>
          <w:rFonts w:ascii="Times New Roman" w:hAnsi="Times New Roman" w:eastAsia="Calibri"/>
          <w:sz w:val="28"/>
          <w:szCs w:val="28"/>
          <w:lang w:val="uz-Latn-UZ"/>
        </w:rPr>
        <w:t xml:space="preserve">         </w:t>
      </w:r>
      <w:r>
        <w:rPr>
          <w:rFonts w:ascii="Times New Roman" w:hAnsi="Times New Roman"/>
          <w:sz w:val="28"/>
          <w:szCs w:val="28"/>
          <w:lang w:val="uz-Latn-UZ"/>
        </w:rPr>
        <w:t xml:space="preserve">              </w:t>
      </w:r>
    </w:p>
    <w:p>
      <w:pPr>
        <w:pStyle w:val="21"/>
        <w:jc w:val="both"/>
        <w:rPr>
          <w:rFonts w:ascii="Times New Roman" w:hAnsi="Times New Roman"/>
          <w:sz w:val="28"/>
          <w:szCs w:val="28"/>
          <w:lang w:val="uz-Latn-UZ"/>
        </w:rPr>
      </w:pP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где Х – разница расстояния между детектором и источником во 2</w:t>
      </w:r>
      <w:r>
        <w:rPr>
          <w:rFonts w:ascii="Times New Roman" w:hAnsi="Times New Roman" w:eastAsia="DengXian"/>
          <w:sz w:val="28"/>
          <w:szCs w:val="28"/>
          <w:lang w:val="uz-Latn-UZ"/>
        </w:rPr>
        <w:t>-</w:t>
      </w:r>
      <w:r>
        <w:rPr>
          <w:rFonts w:ascii="Times New Roman" w:hAnsi="Times New Roman" w:eastAsia="DengXian"/>
          <w:sz w:val="28"/>
          <w:szCs w:val="28"/>
        </w:rPr>
        <w:t>ом положении от 1</w:t>
      </w:r>
      <w:r>
        <w:rPr>
          <w:rFonts w:ascii="Times New Roman" w:hAnsi="Times New Roman" w:eastAsia="DengXian"/>
          <w:sz w:val="28"/>
          <w:szCs w:val="28"/>
          <w:lang w:val="uz-Latn-UZ"/>
        </w:rPr>
        <w:t>-</w:t>
      </w:r>
      <w:r>
        <w:rPr>
          <w:rFonts w:ascii="Times New Roman" w:hAnsi="Times New Roman" w:eastAsia="DengXian"/>
          <w:sz w:val="28"/>
          <w:szCs w:val="28"/>
        </w:rPr>
        <w:t>го положения.</w:t>
      </w: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d – диаметр следа пучка.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Получим для альфа: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26745" cy="169545"/>
            <wp:effectExtent l="0" t="0" r="8255" b="8255"/>
            <wp:docPr id="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Длягамма: </w:t>
      </w:r>
      <w:r>
        <w:rPr>
          <w:rFonts w:ascii="Times New Roman" w:hAnsi="Times New Roman" w:eastAsia="DengXian"/>
          <w:i/>
          <w:sz w:val="28"/>
          <w:szCs w:val="28"/>
        </w:rPr>
        <w:br w:type="textWrapping"/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26745" cy="169545"/>
            <wp:effectExtent l="0" t="0" r="8255" b="8255"/>
            <wp:docPr id="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Определим телесный угол по формуле:</w:t>
      </w:r>
    </w:p>
    <w:p>
      <w:pPr>
        <w:pStyle w:val="21"/>
        <w:jc w:val="both"/>
        <w:rPr>
          <w:rFonts w:ascii="Times New Roman" w:hAnsi="Times New Roman" w:eastAsia="DengXi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1489710" cy="302260"/>
            <wp:effectExtent l="0" t="0" r="8890" b="2540"/>
            <wp:docPr id="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i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Для альфа: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840740" cy="206375"/>
            <wp:effectExtent l="0" t="0" r="10160" b="9525"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Для гамма: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840740" cy="206375"/>
            <wp:effectExtent l="0" t="0" r="10160" b="9525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>
      <w:pPr>
        <w:pStyle w:val="22"/>
        <w:rPr>
          <w:rFonts w:ascii="Times New Roman" w:hAnsi="Times New Roman" w:eastAsia="DengXian"/>
        </w:rPr>
      </w:pPr>
      <w:r>
        <w:rPr>
          <w:rFonts w:ascii="Times New Roman" w:hAnsi="Times New Roman" w:eastAsia="DengXian" w:cs="Times New Roman"/>
          <w:b w:val="0"/>
          <w:bCs w:val="0"/>
          <w:sz w:val="32"/>
          <w:szCs w:val="32"/>
        </w:rPr>
        <w:t>§ 5. Потери энергии альфа-частиц в воздухе</w:t>
      </w:r>
      <w:r>
        <w:rPr>
          <w:rFonts w:ascii="Times New Roman" w:hAnsi="Times New Roman" w:eastAsia="DengXian"/>
        </w:rPr>
        <w:t xml:space="preserve"> </w:t>
      </w:r>
    </w:p>
    <w:p>
      <w:pPr>
        <w:pStyle w:val="21"/>
        <w:ind w:firstLine="708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  <w:highlight w:val="none"/>
        </w:rPr>
        <w:t>В лабораторной работе №</w:t>
      </w:r>
      <w:r>
        <w:rPr>
          <w:rFonts w:hint="default" w:ascii="Times New Roman" w:hAnsi="Times New Roman" w:eastAsia="DengXian"/>
          <w:sz w:val="28"/>
          <w:szCs w:val="28"/>
          <w:highlight w:val="none"/>
          <w:lang w:val="uz-Latn-UZ"/>
        </w:rPr>
        <w:t>5</w:t>
      </w:r>
      <w:r>
        <w:rPr>
          <w:rFonts w:ascii="Times New Roman" w:hAnsi="Times New Roman" w:eastAsia="DengXian"/>
          <w:sz w:val="28"/>
          <w:szCs w:val="28"/>
          <w:highlight w:val="none"/>
        </w:rPr>
        <w:t xml:space="preserve"> бы</w:t>
      </w:r>
      <w:r>
        <w:rPr>
          <w:rFonts w:ascii="Times New Roman" w:hAnsi="Times New Roman" w:eastAsia="DengXian"/>
          <w:sz w:val="28"/>
          <w:szCs w:val="28"/>
        </w:rPr>
        <w:t xml:space="preserve">ли изучены распространение альфа-частицы по воздуху и концепция средней дальности и ее расчет. </w:t>
      </w:r>
      <w:r>
        <w:rPr>
          <w:rFonts w:ascii="Times New Roman" w:hAnsi="Times New Roman" w:eastAsia="DengXian"/>
          <w:sz w:val="28"/>
          <w:szCs w:val="28"/>
        </w:rPr>
        <w:tab/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  <w:lang w:val="uz-Latn-UZ"/>
        </w:rPr>
        <w:t xml:space="preserve"> </w:t>
      </w:r>
      <w:r>
        <w:rPr>
          <w:rFonts w:ascii="Times New Roman" w:hAnsi="Times New Roman" w:eastAsia="DengXian"/>
          <w:sz w:val="28"/>
          <w:szCs w:val="28"/>
        </w:rPr>
        <w:t>Для того, чтобы приступить к экспериментам необходимо изучить такие понятия как: ионизационное торможение, средние удельные ионизационные потери энергии, средний пробег и другие связанные с этим явления.</w:t>
      </w:r>
    </w:p>
    <w:p>
      <w:pPr>
        <w:pStyle w:val="21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  <w:lang w:val="uz-Latn-UZ"/>
        </w:rPr>
        <w:t xml:space="preserve">  </w:t>
      </w:r>
      <w:r>
        <w:rPr>
          <w:rFonts w:ascii="Times New Roman" w:hAnsi="Times New Roman" w:eastAsia="DengXian"/>
          <w:sz w:val="28"/>
          <w:szCs w:val="28"/>
        </w:rPr>
        <w:t xml:space="preserve">При прохождении через вещество заряженная частица за счет кулоновского взаимодействия неупруго рассеивается на электронах и ядрах атомов. Энергия, передаваемая в результате такого неупругого кулоновского рассеяния частицы идет на возбуждение и ионизацию атомов среды. Так, процесс потери частицей энергии за счет ионизации и возбуждения атомов среды при неупругом рассеянии называется </w:t>
      </w:r>
      <w:r>
        <w:rPr>
          <w:rFonts w:ascii="Times New Roman" w:hAnsi="Times New Roman" w:eastAsia="DengXian"/>
          <w:b/>
          <w:bCs/>
          <w:sz w:val="28"/>
          <w:szCs w:val="28"/>
        </w:rPr>
        <w:t>ионизационным торможением</w:t>
      </w:r>
      <w:r>
        <w:rPr>
          <w:rFonts w:ascii="Times New Roman" w:hAnsi="Times New Roman" w:eastAsia="DengXian"/>
          <w:sz w:val="28"/>
          <w:szCs w:val="28"/>
        </w:rPr>
        <w:t>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Количественный параметр, характеризующий ионизационное торможение: удельные</w:t>
      </w:r>
      <w:r>
        <w:rPr>
          <w:rFonts w:ascii="Times New Roman" w:hAnsi="Times New Roman" w:eastAsia="DengXian"/>
          <w:sz w:val="28"/>
          <w:szCs w:val="28"/>
          <w:lang w:val="uz-Latn-UZ"/>
        </w:rPr>
        <w:t xml:space="preserve"> </w:t>
      </w:r>
      <w:r>
        <w:rPr>
          <w:rFonts w:ascii="Times New Roman" w:hAnsi="Times New Roman" w:eastAsia="DengXian"/>
          <w:sz w:val="28"/>
          <w:szCs w:val="28"/>
        </w:rPr>
        <w:t xml:space="preserve">ионизационные потери энергии </w:t>
      </w:r>
      <w:r>
        <w:rPr>
          <w:sz w:val="28"/>
          <w:szCs w:val="28"/>
        </w:rPr>
        <w:drawing>
          <wp:inline distT="0" distB="0" distL="0" distR="0">
            <wp:extent cx="647700" cy="260350"/>
            <wp:effectExtent l="0" t="0" r="0" b="6350"/>
            <wp:docPr id="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, т.е. потери энергии на единицу пути, происходящие вследствие ионизации и возбуждения атомов. По-другому этот параметр называется </w:t>
      </w:r>
      <w:r>
        <w:rPr>
          <w:rFonts w:ascii="Times New Roman" w:hAnsi="Times New Roman" w:eastAsia="DengXian"/>
          <w:b/>
          <w:bCs/>
          <w:sz w:val="28"/>
          <w:szCs w:val="28"/>
        </w:rPr>
        <w:t>тормозной способностью вещества</w:t>
      </w:r>
      <w:r>
        <w:rPr>
          <w:rFonts w:ascii="Times New Roman" w:hAnsi="Times New Roman" w:eastAsia="DengXian"/>
          <w:sz w:val="28"/>
          <w:szCs w:val="28"/>
        </w:rPr>
        <w:t>:</w:t>
      </w:r>
    </w:p>
    <w:p>
      <w:pPr>
        <w:pStyle w:val="21"/>
        <w:jc w:val="center"/>
        <w:rPr>
          <w:rFonts w:ascii="Times New Roman" w:hAnsi="Times New Roman" w:eastAsia="DengXian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628775" cy="400685"/>
            <wp:effectExtent l="0" t="0" r="9525" b="5715"/>
            <wp:docPr id="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где </w:t>
      </w:r>
      <w:r>
        <w:rPr>
          <w:sz w:val="28"/>
          <w:szCs w:val="28"/>
        </w:rPr>
        <w:drawing>
          <wp:inline distT="0" distB="0" distL="0" distR="0">
            <wp:extent cx="153670" cy="173355"/>
            <wp:effectExtent l="0" t="0" r="11430" b="4445"/>
            <wp:docPr id="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– атомная плотность (объемная концентрация атомов), В – тормозное число.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Для релятивистского иона:</w:t>
      </w:r>
    </w:p>
    <w:p>
      <w:pPr>
        <w:pStyle w:val="21"/>
        <w:jc w:val="center"/>
        <w:rPr>
          <w:rFonts w:ascii="Times New Roman" w:hAnsi="Times New Roman" w:eastAsia="DengXian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68805" cy="447040"/>
            <wp:effectExtent l="0" t="0" r="10795" b="1016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Полуэмпирически показано: средний потенциал ионизации атома вещества - </w:t>
      </w:r>
      <w:r>
        <w:rPr>
          <w:rFonts w:ascii="Times New Roman" w:hAnsi="Times New Roman" w:eastAsia="DengXian"/>
          <w:sz w:val="28"/>
          <w:szCs w:val="28"/>
          <w:lang w:val="uz-Latn-UZ"/>
        </w:rPr>
        <w:t xml:space="preserve">           </w:t>
      </w:r>
      <w:r>
        <w:rPr>
          <w:sz w:val="28"/>
          <w:szCs w:val="28"/>
        </w:rPr>
        <w:drawing>
          <wp:inline distT="0" distB="0" distL="0" distR="0">
            <wp:extent cx="1201420" cy="226695"/>
            <wp:effectExtent l="0" t="0" r="5080" b="1905"/>
            <wp:docPr id="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, </w:t>
      </w:r>
      <w:r>
        <w:rPr>
          <w:sz w:val="28"/>
          <w:szCs w:val="28"/>
        </w:rPr>
        <w:drawing>
          <wp:inline distT="0" distB="0" distL="0" distR="0">
            <wp:extent cx="887730" cy="226695"/>
            <wp:effectExtent l="0" t="0" r="1270" b="1905"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– потенциал атома водорода.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Подставив тормозное число для релятивистского иона в формулу удельной ионизационной потери энергии, получим формулу Бете-Блоха:</w:t>
      </w:r>
    </w:p>
    <w:p>
      <w:pPr>
        <w:pStyle w:val="21"/>
        <w:jc w:val="center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i/>
          <w:sz w:val="28"/>
          <w:szCs w:val="28"/>
        </w:rPr>
        <w:br w:type="textWrapping"/>
      </w:r>
      <w:r>
        <w:rPr>
          <w:sz w:val="28"/>
          <w:szCs w:val="28"/>
        </w:rPr>
        <w:drawing>
          <wp:inline distT="0" distB="0" distL="0" distR="0">
            <wp:extent cx="3103880" cy="447040"/>
            <wp:effectExtent l="0" t="0" r="7620" b="1016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Эксперимент №1. Расчет начальной энергии альфа-частиц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Необходимо установить крышку источника в положение 2().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Параметры эксперимента: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686300" cy="600075"/>
            <wp:effectExtent l="0" t="0" r="0" b="9525"/>
            <wp:wrapSquare wrapText="bothSides"/>
            <wp:docPr id="8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Так как альфа-частицы теряют большую часть своей энергии в воздухе, то необходимо уменьшить диапазон уровня яркости.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После начала измерений нужно отодвигать источник от детектора до тех пор, пока количество альфа-частиц в кадре не будет между 0 и 1. Зафиксировав это положение, замерить расстояние между источником и детектором. Это расстояние будет средним пробегом альфа-частицы в воздухе (R=1.5см).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По эмпирической формуле Гейгера получим, что начальная энергия альфа-частиц была 2,8 МэВ.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Эксперимент №2. Зависимость длины пробега от кинетической энергии частиц.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90675" cy="542925"/>
            <wp:effectExtent l="0" t="0" r="9525" b="3175"/>
            <wp:wrapSquare wrapText="bothSides"/>
            <wp:docPr id="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Параметры с предыдущего эксперимента, кроме: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Производится 20 измерений. После каждого увеличиваем расстояние между источником и детекторов на 1мм.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40425" cy="381000"/>
            <wp:effectExtent l="0" t="0" r="3175" b="0"/>
            <wp:wrapSquare wrapText="bothSides"/>
            <wp:docPr id="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>Результаты: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  <w:lang w:val="uz-Latn-UZ"/>
        </w:rPr>
        <w:t xml:space="preserve"> </w:t>
      </w:r>
      <w:r>
        <w:rPr>
          <w:rFonts w:ascii="Times New Roman" w:hAnsi="Times New Roman" w:eastAsia="DengXian"/>
          <w:sz w:val="28"/>
          <w:szCs w:val="28"/>
        </w:rPr>
        <w:t>Построив по данным зависимость Е(х), найдем расстояние, при котором альфа-частица теряет всю свою энергию: R=1,7 см.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Рассчитанное значение R(a) не совпадает с значением полученным в эксперименте. Это связано с характеристиками вещества (воздух), в котором альфа-частицы пролетают.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Когда они движутся, то взаимодействуют с молекулами воздуха. И так как в состав воздуха входят смеси газов, которые имеют разную плотность и структуру, то поэтому частицы могут пролететь на разное расстояние.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71800" cy="1819275"/>
            <wp:effectExtent l="0" t="0" r="0" b="9525"/>
            <wp:wrapSquare wrapText="bothSides"/>
            <wp:docPr id="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Рассчитаем удельные потери энергии и построим их зависимость от расстояния.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71800" cy="1809750"/>
            <wp:effectExtent l="0" t="0" r="0" b="6350"/>
            <wp:wrapSquare wrapText="bothSides"/>
            <wp:docPr id="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90875" cy="1809750"/>
            <wp:effectExtent l="0" t="0" r="9525" b="6350"/>
            <wp:wrapSquare wrapText="bothSides"/>
            <wp:docPr id="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Причина их расхождения заключается в том, что 1ый график является дифференциалом по полученной приближенной функции. 2ой же график построен по формуле, в которой используется значения четко по эксперименту со всеми неточностями. Причиной среднеквадратичного отклонения может быть погрешности прибора, ошибки метода измерения, разное влияние вещества на частицы и т.д.</w:t>
      </w:r>
    </w:p>
    <w:p>
      <w:pPr>
        <w:pStyle w:val="21"/>
        <w:spacing w:line="256" w:lineRule="auto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br w:type="page"/>
      </w:r>
    </w:p>
    <w:p>
      <w:pPr>
        <w:pStyle w:val="22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 w:cs="Times New Roman"/>
          <w:b w:val="0"/>
          <w:bCs w:val="0"/>
          <w:sz w:val="32"/>
          <w:szCs w:val="32"/>
        </w:rPr>
        <w:t>§6.  Потери энергии альфа-частицы в полиэтилене и алюминии</w:t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ind w:firstLine="708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highlight w:val="none"/>
        </w:rPr>
        <w:t>В лабораторной работе №</w:t>
      </w:r>
      <w:r>
        <w:rPr>
          <w:rFonts w:hint="default" w:ascii="Times New Roman" w:hAnsi="Times New Roman" w:eastAsia="DengXian"/>
          <w:highlight w:val="none"/>
          <w:lang w:val="uz-Latn-UZ"/>
        </w:rPr>
        <w:t>6</w:t>
      </w:r>
      <w:r>
        <w:rPr>
          <w:rFonts w:ascii="Times New Roman" w:hAnsi="Times New Roman" w:eastAsia="DengXian"/>
          <w:sz w:val="28"/>
          <w:szCs w:val="28"/>
          <w:highlight w:val="none"/>
        </w:rPr>
        <w:t xml:space="preserve"> было изучение поглощение альфа-частицы в полиэтиленовой пленке и алюмини</w:t>
      </w:r>
      <w:r>
        <w:rPr>
          <w:rFonts w:ascii="Times New Roman" w:hAnsi="Times New Roman" w:eastAsia="DengXian"/>
          <w:sz w:val="28"/>
          <w:szCs w:val="28"/>
        </w:rPr>
        <w:t>евой фольге.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  <w:r>
        <w:rPr>
          <w:rFonts w:ascii="Times New Roman" w:hAnsi="Times New Roman" w:eastAsia="DengXian"/>
          <w:i/>
          <w:iCs/>
          <w:sz w:val="28"/>
          <w:szCs w:val="28"/>
        </w:rPr>
        <w:t>Эксперимент №1</w:t>
      </w:r>
      <w:r>
        <w:rPr>
          <w:rFonts w:ascii="Times New Roman" w:hAnsi="Times New Roman" w:eastAsia="DengXian"/>
          <w:sz w:val="28"/>
          <w:szCs w:val="28"/>
        </w:rPr>
        <w:t>. Поглощение альфа-частицы в веществе.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1092200</wp:posOffset>
            </wp:positionH>
            <wp:positionV relativeFrom="paragraph">
              <wp:posOffset>793750</wp:posOffset>
            </wp:positionV>
            <wp:extent cx="3714750" cy="685800"/>
            <wp:effectExtent l="0" t="0" r="6350" b="0"/>
            <wp:wrapSquare wrapText="bothSides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Установив крышку источника в положение 2 (частицы выходят через 13 отверстий диаметром 2мм. Наиболее интенсивный поток частиц) настроили параметры для эксперимента: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Сначала проводится измерение без поглотителя (макс. уровень яркости – 100).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Далее добавляем по одному слою пленки или фольги до тех пор, пока альфа-частицы не перестанут долетать до детектора (макс. уровень яркости – 10).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Результаты измерений: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С</w:t>
      </w:r>
      <w:r>
        <w:rPr>
          <w:rFonts w:ascii="Times New Roman" w:hAnsi="Times New Roman" w:eastAsia="DengXian"/>
          <w:sz w:val="28"/>
          <w:szCs w:val="28"/>
          <w:lang w:val="uz-Latn-UZ"/>
        </w:rPr>
        <w:t xml:space="preserve"> </w:t>
      </w:r>
      <w:r>
        <w:rPr>
          <w:rFonts w:ascii="Times New Roman" w:hAnsi="Times New Roman" w:eastAsia="DengXian"/>
          <w:sz w:val="28"/>
          <w:szCs w:val="28"/>
        </w:rPr>
        <w:t xml:space="preserve">пленкой: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657850" cy="1414145"/>
            <wp:effectExtent l="0" t="0" r="6350" b="8255"/>
            <wp:docPr id="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4487" cy="142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С фольгой: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659755" cy="1555115"/>
            <wp:effectExtent l="0" t="0" r="4445" b="6985"/>
            <wp:docPr id="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Количество частиц на изображения, полученных от измерений, что с фольгой, что с пленкой уменьшается.</w:t>
      </w: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С добавлением первого слоя поглотителя (фольга или пленка) количество альфа-частиц уменьшается. На втором слое альфа-частицы уже полностью останавливаются. </w:t>
      </w: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Плотность у воздуха меньше, чем у фольги (также как и количество атомов).</w:t>
      </w: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На первом слое альфа-частицы взаимодействуют с фольгой, теряют часть своей энергии (энергия идет на ионизацию вещества) и пролетают дальше, а некоторые частицы уже на этом слое полностью теряют свою энергию и пролететь дальше не могут.</w:t>
      </w: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На втором слое уже всем альфа-частицам не хватает энергии для его преодоления и поэтому полностью останавливаются в веществе.</w:t>
      </w: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Проходя через воздух альфа-частицы незначительно теряют энергию по сравнению с прохождением через поглотитель, поэтому их количество без поглотителя самое большое.</w:t>
      </w: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Алюминиевая фольга более плотная, чем полиэтиленовая пленка. Поэтому требует больше энергии на ионизацию и возбуждение атомов.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i/>
          <w:iCs/>
          <w:sz w:val="28"/>
          <w:szCs w:val="28"/>
        </w:rPr>
        <w:t>Эксперимент №2</w:t>
      </w:r>
      <w:r>
        <w:rPr>
          <w:rFonts w:ascii="Times New Roman" w:hAnsi="Times New Roman" w:eastAsia="DengXian"/>
          <w:sz w:val="28"/>
          <w:szCs w:val="28"/>
        </w:rPr>
        <w:t xml:space="preserve">. Потери энергии альфа-частиц в веществе.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62025" cy="742950"/>
            <wp:effectExtent l="0" t="0" r="3175" b="6350"/>
            <wp:wrapSquare wrapText="bothSides"/>
            <wp:docPr id="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Установив параметры с прошлого эксперимента, кроме: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проводятся измерения также как и в предыдущем, сначала без поглотителя и далее добавляем по одному слою, пока альфа-частицы не перестанут долетать до детектора. Но после каждого измерения необходимо построить гистограмму энергий альфа-частиц, где по пикам определим энергии частиц.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Результаты измерений: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С пленкой: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533900" cy="1695450"/>
            <wp:effectExtent l="0" t="0" r="0" b="6350"/>
            <wp:wrapSquare wrapText="bothSides"/>
            <wp:docPr id="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drawing>
          <wp:anchor distT="0" distB="0" distL="114300" distR="114300" simplePos="0" relativeHeight="251691008" behindDoc="1" locked="0" layoutInCell="1" allowOverlap="0">
            <wp:simplePos x="0" y="0"/>
            <wp:positionH relativeFrom="column">
              <wp:posOffset>1043940</wp:posOffset>
            </wp:positionH>
            <wp:positionV relativeFrom="line">
              <wp:posOffset>72390</wp:posOffset>
            </wp:positionV>
            <wp:extent cx="3500120" cy="2148840"/>
            <wp:effectExtent l="0" t="0" r="0" b="0"/>
            <wp:wrapTight wrapText="bothSides">
              <wp:wrapPolygon>
                <wp:start x="0" y="0"/>
                <wp:lineTo x="0" y="21447"/>
                <wp:lineTo x="21553" y="21447"/>
                <wp:lineTo x="21553" y="0"/>
                <wp:lineTo x="0" y="0"/>
              </wp:wrapPolygon>
            </wp:wrapTight>
            <wp:docPr id="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"/>
          <w:sz w:val="28"/>
          <w:szCs w:val="28"/>
        </w:rPr>
        <w:t xml:space="preserve">С фольгой: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Энергия частиц уходит на ионизацию и возбуждение атомов вещества. В более плотном веществе альфа-частицы тратят больше энергии из-за ионизации вещества (электроны крепче "сидят" в атомах).Спектр энергии увеличивается из-за рассеивания. Альфа-частицы сталкиваются с атомами вещества и рассеиваются -&gt; частицы меняют свое направление, поэтому мы получаем разброс в энергии. Чем больше атомов, тем больше частицы рассеивается.</w:t>
      </w:r>
    </w:p>
    <w:p>
      <w:pPr>
        <w:pStyle w:val="21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Пленка плотнее воздуха, поэтому на гистограмме с поглотителем энергия меньше (спектр больше), чем без него.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 Мы можем рассчитать среднюю длину пробега в веществе для альфа-частицы по эмпирической формуле: </w:t>
      </w:r>
    </w:p>
    <w:p>
      <w:pPr>
        <w:pStyle w:val="21"/>
        <w:jc w:val="center"/>
        <w:rPr>
          <w:rFonts w:ascii="Times New Roman" w:hAnsi="Times New Roman" w:eastAsia="DengXian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448435" cy="460375"/>
            <wp:effectExtent l="0" t="0" r="12065" b="9525"/>
            <wp:docPr id="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Где Z – атомный номер вещества, </w:t>
      </w:r>
      <w:r>
        <w:rPr>
          <w:sz w:val="28"/>
          <w:szCs w:val="28"/>
        </w:rPr>
        <w:drawing>
          <wp:inline distT="0" distB="0" distL="0" distR="0">
            <wp:extent cx="80010" cy="173355"/>
            <wp:effectExtent l="0" t="0" r="8890" b="4445"/>
            <wp:docPr id="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– плотность вещества, </w:t>
      </w:r>
      <w:r>
        <w:rPr>
          <w:sz w:val="28"/>
          <w:szCs w:val="28"/>
        </w:rPr>
        <w:drawing>
          <wp:inline distT="0" distB="0" distL="0" distR="0">
            <wp:extent cx="1588770" cy="240030"/>
            <wp:effectExtent l="0" t="0" r="11430" b="1270"/>
            <wp:docPr id="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– средняя длина пробега альфа-частицы в воздухе (из предыдущей лабораторной работы =1,5см), </w:t>
      </w:r>
      <w:r>
        <w:rPr>
          <w:sz w:val="28"/>
          <w:szCs w:val="28"/>
        </w:rPr>
        <w:drawing>
          <wp:inline distT="0" distB="0" distL="0" distR="0">
            <wp:extent cx="567055" cy="173355"/>
            <wp:effectExtent l="0" t="0" r="4445" b="4445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DengXian"/>
          <w:sz w:val="28"/>
          <w:szCs w:val="28"/>
        </w:rPr>
        <w:t xml:space="preserve"> – начальная кинетическая энергия альфа-частиц.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Для пленки: R(a)=0,0022 см</w:t>
      </w:r>
    </w:p>
    <w:p>
      <w:pPr>
        <w:pStyle w:val="21"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 xml:space="preserve">Для фольги: R(a)=0,00073 см </w:t>
      </w:r>
    </w:p>
    <w:p>
      <w:pPr>
        <w:pStyle w:val="21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Альфа-частицы быстрее останавливаются, проходя через алюминиевую фольгу.</w:t>
      </w:r>
    </w:p>
    <w:p>
      <w:pPr>
        <w:pStyle w:val="21"/>
        <w:rPr>
          <w:rFonts w:ascii="Times New Roman" w:hAnsi="Times New Roman" w:eastAsia="DengXian"/>
          <w:sz w:val="28"/>
          <w:szCs w:val="28"/>
        </w:rPr>
      </w:pPr>
    </w:p>
    <w:p>
      <w:pPr>
        <w:rPr>
          <w:rFonts w:ascii="Times New Roman" w:hAnsi="Times New Roman" w:eastAsia="DengXian"/>
        </w:rPr>
      </w:pPr>
      <w:r>
        <w:rPr>
          <w:rFonts w:ascii="Times New Roman" w:hAnsi="Times New Roman" w:eastAsia="DengXian"/>
        </w:rPr>
        <w:br w:type="page"/>
      </w:r>
    </w:p>
    <w:p>
      <w:pPr>
        <w:pStyle w:val="3"/>
        <w:rPr>
          <w:rFonts w:ascii="Times New Roman" w:hAnsi="Times New Roman" w:cs="Times New Roman" w:eastAsiaTheme="minorEastAsia"/>
          <w:b w:val="0"/>
          <w:bCs w:val="0"/>
          <w:sz w:val="32"/>
          <w:szCs w:val="32"/>
        </w:rPr>
      </w:pPr>
      <w:bookmarkStart w:id="2" w:name="_Toc153562329"/>
      <w:r>
        <w:rPr>
          <w:rFonts w:ascii="Times New Roman" w:hAnsi="Times New Roman" w:cs="Times New Roman" w:eastAsiaTheme="minorEastAsia"/>
          <w:b w:val="0"/>
          <w:bCs w:val="0"/>
          <w:sz w:val="32"/>
          <w:szCs w:val="32"/>
        </w:rPr>
        <w:t xml:space="preserve">§ 7.  Гамма-излучение от </w:t>
      </w:r>
      <w:bookmarkEnd w:id="2"/>
      <m:oMath>
        <m:sPre>
          <m:sPrePr>
            <m:ctrlPr>
              <w:rPr>
                <w:rFonts w:ascii="Cambria Math" w:hAnsi="Cambria Math" w:cs="Times New Roman" w:eastAsiaTheme="minorEastAsia"/>
                <w:b w:val="0"/>
                <w:bCs w:val="0"/>
                <w:i/>
                <w:sz w:val="32"/>
                <w:szCs w:val="32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="Times New Roman" w:eastAsiaTheme="minorEastAsia"/>
                <w:sz w:val="32"/>
                <w:szCs w:val="32"/>
                <w:lang w:val="uz-Latn-UZ"/>
              </w:rPr>
              <m:t>95</m:t>
            </m:r>
            <m:ctrlPr>
              <w:rPr>
                <w:rFonts w:ascii="Cambria Math" w:hAnsi="Cambria Math" w:cs="Times New Roman" w:eastAsiaTheme="minorEastAsia"/>
                <w:b w:val="0"/>
                <w:bCs w:val="0"/>
                <w:i/>
                <w:sz w:val="32"/>
                <w:szCs w:val="32"/>
              </w:rPr>
            </m:ctrlPr>
          </m:sub>
          <m:sup>
            <m:r>
              <m:rPr>
                <m:sty m:val="bi"/>
              </m:rPr>
              <w:rPr>
                <w:rFonts w:ascii="Cambria Math" w:hAnsi="Cambria Math" w:cs="Times New Roman" w:eastAsiaTheme="minorEastAsia"/>
                <w:sz w:val="32"/>
                <w:szCs w:val="32"/>
              </w:rPr>
              <m:t>241</m:t>
            </m:r>
            <m:ctrlPr>
              <w:rPr>
                <w:rFonts w:ascii="Cambria Math" w:hAnsi="Cambria Math" w:cs="Times New Roman" w:eastAsiaTheme="minorEastAsia"/>
                <w:b w:val="0"/>
                <w:bCs w:val="0"/>
                <w:i/>
                <w:sz w:val="32"/>
                <w:szCs w:val="32"/>
              </w:rPr>
            </m:ctrlPr>
          </m:sup>
          <m:e>
            <m:r>
              <m:rPr>
                <m:sty m:val="bi"/>
              </m:rPr>
              <w:rPr>
                <w:rFonts w:ascii="Cambria Math" w:hAnsi="Cambria Math" w:cs="Times New Roman" w:eastAsiaTheme="minorEastAsia"/>
                <w:sz w:val="32"/>
                <w:szCs w:val="32"/>
                <w:lang w:val="en-US"/>
              </w:rPr>
              <m:t>Am</m:t>
            </m:r>
            <m:ctrlPr>
              <w:rPr>
                <w:rFonts w:ascii="Cambria Math" w:hAnsi="Cambria Math" w:cs="Times New Roman" w:eastAsiaTheme="minorEastAsia"/>
                <w:b w:val="0"/>
                <w:bCs w:val="0"/>
                <w:i/>
                <w:sz w:val="32"/>
                <w:szCs w:val="32"/>
              </w:rPr>
            </m:ctrlPr>
          </m:e>
        </m:sPre>
      </m:oMath>
    </w:p>
    <w:p>
      <w:pPr>
        <w:jc w:val="both"/>
        <w:rPr>
          <w:rFonts w:ascii="Times New Roman" w:hAnsi="Times New Roman" w:cs="Times New Roman" w:eastAsiaTheme="minorEastAsia"/>
          <w:highlight w:val="none"/>
        </w:rPr>
      </w:pPr>
      <w:r>
        <w:rPr>
          <w:rFonts w:ascii="Times New Roman" w:hAnsi="Times New Roman" w:eastAsia="DengXian"/>
          <w:highlight w:val="none"/>
        </w:rPr>
        <w:t>В лабораторной работе №</w:t>
      </w:r>
      <w:r>
        <w:rPr>
          <w:rFonts w:hint="default" w:ascii="Times New Roman" w:hAnsi="Times New Roman" w:eastAsia="DengXian"/>
          <w:highlight w:val="none"/>
          <w:lang w:val="uz-Latn-UZ"/>
        </w:rPr>
        <w:t>7</w:t>
      </w:r>
      <w:r>
        <w:rPr>
          <w:rFonts w:ascii="Times New Roman" w:hAnsi="Times New Roman" w:cs="Times New Roman" w:eastAsiaTheme="minorEastAsia"/>
          <w:highlight w:val="none"/>
        </w:rPr>
        <w:t xml:space="preserve"> была изучена регистрация гамма-частиц и сечение реакции.</w:t>
      </w:r>
    </w:p>
    <w:p>
      <w:pPr>
        <w:ind w:firstLine="708" w:firstLineChars="0"/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Распад </w:t>
      </w:r>
      <m:oMath>
        <m:sPre>
          <m:sPrePr>
            <m:ctrlPr>
              <w:rPr>
                <w:rFonts w:ascii="Cambria Math" w:hAnsi="Cambria Math" w:cs="Times New Roman" w:eastAsiaTheme="minorEastAsia"/>
                <w:i/>
              </w:rPr>
            </m:ctrlPr>
          </m:sPrePr>
          <m:sub>
            <m:r>
              <m:rPr/>
              <w:rPr>
                <w:rFonts w:ascii="Cambria Math" w:hAnsi="Cambria Math" w:cs="Times New Roman" w:eastAsiaTheme="minorEastAsia"/>
                <w:lang w:val="uz-Latn-UZ"/>
              </w:rPr>
              <m:t>95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b>
          <m:sup>
            <m:r>
              <m:rPr/>
              <w:rPr>
                <w:rFonts w:ascii="Cambria Math" w:hAnsi="Cambria Math" w:cs="Times New Roman" w:eastAsiaTheme="minorEastAsia"/>
              </w:rPr>
              <m:t>241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p>
          <m:e>
            <m:r>
              <m:rPr/>
              <w:rPr>
                <w:rFonts w:ascii="Cambria Math" w:hAnsi="Cambria Math" w:cs="Times New Roman" w:eastAsiaTheme="minorEastAsia"/>
                <w:lang w:val="en-US"/>
              </w:rPr>
              <m:t>Am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e>
        </m:sPre>
      </m:oMath>
      <w:r>
        <w:rPr>
          <w:rFonts w:ascii="Times New Roman" w:hAnsi="Times New Roman" w:cs="Times New Roman" w:eastAsiaTheme="minorEastAsia"/>
        </w:rPr>
        <w:t xml:space="preserve">: </w:t>
      </w:r>
      <m:oMath>
        <m:sPre>
          <m:sPrePr>
            <m:ctrlPr>
              <w:rPr>
                <w:rFonts w:ascii="Cambria Math" w:hAnsi="Cambria Math" w:cs="Times New Roman" w:eastAsiaTheme="minorEastAsia"/>
                <w:i/>
              </w:rPr>
            </m:ctrlPr>
          </m:sPrePr>
          <m:sub>
            <m:r>
              <m:rPr/>
              <w:rPr>
                <w:rFonts w:ascii="Cambria Math" w:hAnsi="Cambria Math" w:cs="Times New Roman" w:eastAsiaTheme="minorEastAsia"/>
              </w:rPr>
              <m:t>95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b>
          <m:sup>
            <m:r>
              <m:rPr/>
              <w:rPr>
                <w:rFonts w:ascii="Cambria Math" w:hAnsi="Cambria Math" w:cs="Times New Roman" w:eastAsiaTheme="minorEastAsia"/>
              </w:rPr>
              <m:t>241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p>
          <m:e>
            <m:r>
              <m:rPr/>
              <w:rPr>
                <w:rFonts w:ascii="Cambria Math" w:hAnsi="Cambria Math" w:cs="Times New Roman" w:eastAsiaTheme="minorEastAsia"/>
                <w:lang w:val="en-US"/>
              </w:rPr>
              <m:t>Am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e>
        </m:sPre>
        <m:r>
          <m:rPr/>
          <w:rPr>
            <w:rFonts w:ascii="Cambria Math" w:hAnsi="Cambria Math" w:cs="Times New Roman" w:eastAsiaTheme="minorEastAsia"/>
          </w:rPr>
          <m:t>→</m:t>
        </m:r>
        <m:sPre>
          <m:sPrePr>
            <m:ctrlPr>
              <w:rPr>
                <w:rFonts w:ascii="Cambria Math" w:hAnsi="Cambria Math" w:cs="Times New Roman" w:eastAsiaTheme="minorEastAsia"/>
                <w:i/>
              </w:rPr>
            </m:ctrlPr>
          </m:sPrePr>
          <m:sub>
            <m:r>
              <m:rPr/>
              <w:rPr>
                <w:rFonts w:ascii="Cambria Math" w:hAnsi="Cambria Math" w:cs="Times New Roman" w:eastAsiaTheme="minorEastAsia"/>
              </w:rPr>
              <m:t>93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b>
          <m:sup>
            <m:r>
              <m:rPr/>
              <w:rPr>
                <w:rFonts w:ascii="Cambria Math" w:hAnsi="Cambria Math" w:cs="Times New Roman" w:eastAsiaTheme="minorEastAsia"/>
              </w:rPr>
              <m:t>237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p>
          <m:e>
            <m:r>
              <m:rPr/>
              <w:rPr>
                <w:rFonts w:ascii="Cambria Math" w:hAnsi="Cambria Math" w:cs="Times New Roman" w:eastAsiaTheme="minorEastAsia"/>
              </w:rPr>
              <m:t>Np+</m:t>
            </m:r>
            <m:sPre>
              <m:sPrePr>
                <m:ctrlPr>
                  <w:rPr>
                    <w:rFonts w:ascii="Cambria Math" w:hAnsi="Cambria Math" w:cs="Times New Roman" w:eastAsiaTheme="minorEastAsia"/>
                    <w:i/>
                  </w:rPr>
                </m:ctrlPr>
              </m:sPrePr>
              <m:sub>
                <m:r>
                  <m:rPr/>
                  <w:rPr>
                    <w:rFonts w:ascii="Cambria Math" w:hAnsi="Cambria Math" w:cs="Times New Roman" w:eastAsiaTheme="minorEastAsia"/>
                  </w:rPr>
                  <m:t>2</m:t>
                </m:r>
                <m:ctrlPr>
                  <w:rPr>
                    <w:rFonts w:ascii="Cambria Math" w:hAnsi="Cambria Math" w:cs="Times New Roman" w:eastAsiaTheme="minorEastAsia"/>
                    <w:i/>
                  </w:rPr>
                </m:ctrlPr>
              </m:sub>
              <m:sup>
                <m:r>
                  <m:rPr/>
                  <w:rPr>
                    <w:rFonts w:ascii="Cambria Math" w:hAnsi="Cambria Math" w:cs="Times New Roman" w:eastAsiaTheme="minorEastAsia"/>
                  </w:rPr>
                  <m:t>4</m:t>
                </m:r>
                <m:ctrlPr>
                  <w:rPr>
                    <w:rFonts w:ascii="Cambria Math" w:hAnsi="Cambria Math" w:cs="Times New Roman" w:eastAsiaTheme="minorEastAsia"/>
                    <w:i/>
                  </w:rPr>
                </m:ctrlPr>
              </m:sup>
              <m:e>
                <m:r>
                  <m:rPr/>
                  <w:rPr>
                    <w:rFonts w:ascii="Cambria Math" w:hAnsi="Cambria Math" w:cs="Times New Roman" w:eastAsiaTheme="minorEastAsia"/>
                  </w:rPr>
                  <m:t>He</m:t>
                </m:r>
                <m:ctrlPr>
                  <w:rPr>
                    <w:rFonts w:ascii="Cambria Math" w:hAnsi="Cambria Math" w:cs="Times New Roman" w:eastAsiaTheme="minorEastAsia"/>
                    <w:i/>
                  </w:rPr>
                </m:ctrlPr>
              </m:e>
            </m:sPre>
            <m:ctrlPr>
              <w:rPr>
                <w:rFonts w:ascii="Cambria Math" w:hAnsi="Cambria Math" w:cs="Times New Roman" w:eastAsiaTheme="minorEastAsia"/>
                <w:i/>
              </w:rPr>
            </m:ctrlPr>
          </m:e>
        </m:sPre>
      </m:oMath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После реакции, ядра </w:t>
      </w:r>
      <m:oMath>
        <m:sPre>
          <m:sPrePr>
            <m:ctrlPr>
              <w:rPr>
                <w:rFonts w:ascii="Cambria Math" w:hAnsi="Cambria Math" w:cs="Times New Roman" w:eastAsiaTheme="minorEastAsia"/>
                <w:i/>
              </w:rPr>
            </m:ctrlPr>
          </m:sPrePr>
          <m:sub>
            <m:r>
              <m:rPr/>
              <w:rPr>
                <w:rFonts w:ascii="Cambria Math" w:hAnsi="Cambria Math" w:cs="Times New Roman" w:eastAsiaTheme="minorEastAsia"/>
              </w:rPr>
              <m:t>93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b>
          <m:sup>
            <m:r>
              <m:rPr/>
              <w:rPr>
                <w:rFonts w:ascii="Cambria Math" w:hAnsi="Cambria Math" w:cs="Times New Roman" w:eastAsiaTheme="minorEastAsia"/>
              </w:rPr>
              <m:t>237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p>
          <m:e>
            <m:r>
              <m:rPr/>
              <w:rPr>
                <w:rFonts w:ascii="Cambria Math" w:hAnsi="Cambria Math" w:cs="Times New Roman" w:eastAsiaTheme="minorEastAsia"/>
              </w:rPr>
              <m:t>Np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e>
        </m:sPre>
      </m:oMath>
      <w:r>
        <w:rPr>
          <w:rFonts w:ascii="Times New Roman" w:hAnsi="Times New Roman" w:cs="Times New Roman" w:eastAsiaTheme="minorEastAsia"/>
        </w:rPr>
        <w:t xml:space="preserve"> находятся в возбужденном состоянии и переходят в основное состояние излучая фотоны с энергией 59,5 кэВ. Также мы можем наблюдать рентгеновские фотоны из электронной оболочки </w:t>
      </w:r>
      <m:oMath>
        <m:sPre>
          <m:sPrePr>
            <m:ctrlPr>
              <w:rPr>
                <w:rFonts w:ascii="Cambria Math" w:hAnsi="Cambria Math" w:cs="Times New Roman" w:eastAsiaTheme="minorEastAsia"/>
                <w:i/>
              </w:rPr>
            </m:ctrlPr>
          </m:sPrePr>
          <m:sub>
            <m:r>
              <m:rPr/>
              <w:rPr>
                <w:rFonts w:ascii="Cambria Math" w:hAnsi="Cambria Math" w:cs="Times New Roman" w:eastAsiaTheme="minorEastAsia"/>
              </w:rPr>
              <m:t>93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b>
          <m:sup>
            <m:r>
              <m:rPr/>
              <w:rPr>
                <w:rFonts w:ascii="Cambria Math" w:hAnsi="Cambria Math" w:cs="Times New Roman" w:eastAsiaTheme="minorEastAsia"/>
              </w:rPr>
              <m:t>237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p>
          <m:e>
            <m:r>
              <m:rPr/>
              <w:rPr>
                <w:rFonts w:ascii="Cambria Math" w:hAnsi="Cambria Math" w:cs="Times New Roman" w:eastAsiaTheme="minorEastAsia"/>
              </w:rPr>
              <m:t>Np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e>
        </m:sPre>
      </m:oMath>
      <w:r>
        <w:rPr>
          <w:rFonts w:ascii="Times New Roman" w:hAnsi="Times New Roman" w:cs="Times New Roman" w:eastAsiaTheme="minorEastAsia"/>
        </w:rPr>
        <w:t xml:space="preserve"> с энергиями 14-17 кэВ или 21кэВ (возникают при взаимодействии гамма-квантов энергии 59,5 кэВ с окружающим веществом). Гамма-лучи выбивают электроны с электронной оболочки </w:t>
      </w:r>
      <m:oMath>
        <m:sPre>
          <m:sPrePr>
            <m:ctrlPr>
              <w:rPr>
                <w:rFonts w:ascii="Cambria Math" w:hAnsi="Cambria Math" w:cs="Times New Roman" w:eastAsiaTheme="minorEastAsia"/>
                <w:i/>
              </w:rPr>
            </m:ctrlPr>
          </m:sPrePr>
          <m:sub>
            <m:r>
              <m:rPr/>
              <w:rPr>
                <w:rFonts w:ascii="Cambria Math" w:hAnsi="Cambria Math" w:cs="Times New Roman" w:eastAsiaTheme="minorEastAsia"/>
              </w:rPr>
              <m:t>93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b>
          <m:sup>
            <m:r>
              <m:rPr/>
              <w:rPr>
                <w:rFonts w:ascii="Cambria Math" w:hAnsi="Cambria Math" w:cs="Times New Roman" w:eastAsiaTheme="minorEastAsia"/>
              </w:rPr>
              <m:t>237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p>
          <m:e>
            <m:r>
              <m:rPr/>
              <w:rPr>
                <w:rFonts w:ascii="Cambria Math" w:hAnsi="Cambria Math" w:cs="Times New Roman" w:eastAsiaTheme="minorEastAsia"/>
              </w:rPr>
              <m:t>Np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e>
        </m:sPre>
      </m:oMath>
      <w:r>
        <w:rPr>
          <w:rFonts w:ascii="Times New Roman" w:hAnsi="Times New Roman" w:cs="Times New Roman" w:eastAsiaTheme="minorEastAsia"/>
        </w:rPr>
        <w:t>. Эти электроны впоследствии ионизируют атомы кремния. Так, косвенно, детектором регистрируются фотоны.</w:t>
      </w: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Мы можем наблюдать два явления.</w:t>
      </w:r>
    </w:p>
    <w:p>
      <w:pPr>
        <w:pStyle w:val="15"/>
        <w:numPr>
          <w:ilvl w:val="0"/>
          <w:numId w:val="5"/>
        </w:numPr>
        <w:jc w:val="both"/>
        <w:rPr>
          <w:rFonts w:ascii="Times New Roman" w:hAnsi="Times New Roman" w:cs="Times New Roman" w:eastAsiaTheme="minorEastAsia"/>
          <w:sz w:val="28"/>
          <w:szCs w:val="28"/>
        </w:rPr>
      </w:pPr>
      <w:r>
        <w:rPr>
          <w:rFonts w:ascii="Times New Roman" w:hAnsi="Times New Roman" w:cs="Times New Roman" w:eastAsiaTheme="minorEastAsia"/>
          <w:sz w:val="28"/>
          <w:szCs w:val="28"/>
        </w:rPr>
        <w:t>Фотоэффект. Взаимодействие, при котором фотон поглощается атомом, передает всю свою энергию орбитальному электрону и выбивает его из атома.</w:t>
      </w:r>
    </w:p>
    <w:p>
      <w:pPr>
        <w:pStyle w:val="15"/>
        <w:numPr>
          <w:ilvl w:val="0"/>
          <w:numId w:val="5"/>
        </w:numPr>
        <w:jc w:val="both"/>
        <w:rPr>
          <w:rFonts w:ascii="Times New Roman" w:hAnsi="Times New Roman" w:cs="Times New Roman" w:eastAsiaTheme="minorEastAsia"/>
          <w:sz w:val="28"/>
          <w:szCs w:val="28"/>
        </w:rPr>
      </w:pPr>
      <w:r>
        <w:rPr>
          <w:rFonts w:ascii="Times New Roman" w:hAnsi="Times New Roman" w:cs="Times New Roman" w:eastAsiaTheme="minorEastAsia"/>
          <w:sz w:val="28"/>
          <w:szCs w:val="28"/>
        </w:rPr>
        <w:t>Эффект Комптона. Взаимодействие. При котором фотон неупруго рассеивается на свободном электроне атомной оболочки, передавая часть своей энергии электрону.</w:t>
      </w: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Альфа-частицы, излучаемые америцием, поглощаются в кремниевом детекторе толщиной 300мкм почти со 100% вероятность. Вероятность регистрации фотонов ниже 100%. Доля зарегистрированных детектором фотонов зависит от их энергии. Мы можем определить вероятность регистрации фотонов по формуле:</w:t>
      </w:r>
    </w:p>
    <w:p>
      <w:pPr>
        <w:jc w:val="both"/>
        <w:rPr>
          <w:rFonts w:ascii="Times New Roman" w:hAnsi="Times New Roman" w:cs="Times New Roman" w:eastAsiaTheme="minorEastAsia"/>
        </w:rPr>
      </w:pPr>
      <m:oMathPara>
        <m:oMath>
          <m:r>
            <m:rPr/>
            <w:rPr>
              <w:rFonts w:ascii="Cambria Math" w:hAnsi="Cambria Math" w:cs="Times New Roman" w:eastAsiaTheme="minorEastAsia"/>
            </w:rPr>
            <m:t>P=</m:t>
          </m:r>
          <m:f>
            <m:fPr>
              <m:ctrlPr>
                <w:rPr>
                  <w:rFonts w:ascii="Cambria Math" w:hAnsi="Cambria Math" w:cs="Times New Roman" w:eastAsiaTheme="minorEastAsia"/>
                  <w:i/>
                </w:rPr>
              </m:ctrlPr>
            </m:fPr>
            <m:num>
              <m:r>
                <m:rPr/>
                <w:rPr>
                  <w:rFonts w:ascii="Cambria Math" w:hAnsi="Cambria Math" w:cs="Times New Roman" w:eastAsiaTheme="minorEastAsia"/>
                </w:rPr>
                <m:t>N'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</w:rPr>
                    <m:t>0</m:t>
                  </m:r>
                  <m:ctrlPr>
                    <w:rPr>
                      <w:rFonts w:ascii="Cambria Math" w:hAnsi="Cambria Math" w:cs="Times New Roman" w:eastAsiaTheme="minorEastAsia"/>
                      <w:i/>
                    </w:rPr>
                  </m:ctrlPr>
                </m:sub>
              </m:sSub>
              <m:ctrlPr>
                <w:rPr>
                  <w:rFonts w:ascii="Cambria Math" w:hAnsi="Cambria Math" w:cs="Times New Roman" w:eastAsiaTheme="minorEastAsia"/>
                  <w:i/>
                </w:rPr>
              </m:ctrlPr>
            </m:den>
          </m:f>
          <m:r>
            <m:rPr/>
            <w:rPr>
              <w:rFonts w:ascii="Cambria Math" w:hAnsi="Cambria Math" w:cs="Times New Roman" w:eastAsiaTheme="minorEastAsia"/>
            </w:rPr>
            <m:t>∗100%</m:t>
          </m:r>
        </m:oMath>
      </m:oMathPara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где </w:t>
      </w:r>
      <m:oMath>
        <m:r>
          <m:rPr/>
          <w:rPr>
            <w:rFonts w:ascii="Cambria Math" w:hAnsi="Cambria Math" w:cs="Times New Roman" w:eastAsiaTheme="minorEastAsia"/>
          </w:rPr>
          <m:t>N'</m:t>
        </m:r>
      </m:oMath>
      <w:r>
        <w:rPr>
          <w:rFonts w:ascii="Times New Roman" w:hAnsi="Times New Roman" w:cs="Times New Roman" w:eastAsiaTheme="minorEastAsia"/>
        </w:rPr>
        <w:t xml:space="preserve"> - число фотонов провзаимодействовавших с веществом детектора, </w:t>
      </w:r>
      <m:oMath>
        <m:sSub>
          <m:sSubPr>
            <m:ctrlPr>
              <w:rPr>
                <w:rFonts w:ascii="Cambria Math" w:hAnsi="Cambria Math" w:cs="Times New Roman" w:eastAsiaTheme="minorEastAsia"/>
                <w:i/>
              </w:rPr>
            </m:ctrlPr>
          </m:sSubPr>
          <m:e>
            <m:r>
              <m:rPr/>
              <w:rPr>
                <w:rFonts w:ascii="Cambria Math" w:hAnsi="Cambria Math" w:cs="Times New Roman" w:eastAsiaTheme="minorEastAsia"/>
              </w:rPr>
              <m:t>N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e>
          <m:sub>
            <m:r>
              <m:rPr/>
              <w:rPr>
                <w:rFonts w:ascii="Cambria Math" w:hAnsi="Cambria Math" w:cs="Times New Roman" w:eastAsiaTheme="minorEastAsia"/>
              </w:rPr>
              <m:t>0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b>
        </m:sSub>
      </m:oMath>
      <w:r>
        <w:rPr>
          <w:rFonts w:ascii="Times New Roman" w:hAnsi="Times New Roman" w:cs="Times New Roman" w:eastAsiaTheme="minorEastAsia"/>
        </w:rPr>
        <w:t xml:space="preserve"> – число фотонов, попавших на сенсор детектора.</w:t>
      </w:r>
    </w:p>
    <w:p>
      <w:pPr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t xml:space="preserve">Зависимость вероятности регистрации фотона от его энергии в детекторе </w:t>
      </w:r>
      <w:r>
        <w:rPr>
          <w:rFonts w:ascii="Times New Roman" w:hAnsi="Times New Roman" w:cs="Times New Roman" w:eastAsiaTheme="minorEastAsia"/>
          <w:iCs/>
          <w:lang w:val="en-US"/>
        </w:rPr>
        <w:t>Medipix</w:t>
      </w:r>
      <w:r>
        <w:rPr>
          <w:rFonts w:ascii="Times New Roman" w:hAnsi="Times New Roman" w:cs="Times New Roman" w:eastAsiaTheme="minorEastAsia"/>
          <w:iCs/>
        </w:rPr>
        <w:t xml:space="preserve"> </w:t>
      </w:r>
      <w:r>
        <w:rPr>
          <w:rFonts w:ascii="Times New Roman" w:hAnsi="Times New Roman" w:cs="Times New Roman" w:eastAsiaTheme="minorEastAsia"/>
          <w:iCs/>
          <w:lang w:val="en-US"/>
        </w:rPr>
        <w:t>MX</w:t>
      </w:r>
      <w:r>
        <w:rPr>
          <w:rFonts w:ascii="Times New Roman" w:hAnsi="Times New Roman" w:cs="Times New Roman" w:eastAsiaTheme="minorEastAsia"/>
          <w:iCs/>
        </w:rPr>
        <w:t>-10:</w:t>
      </w:r>
    </w:p>
    <w:p>
      <w:pPr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drawing>
          <wp:inline distT="0" distB="0" distL="0" distR="0">
            <wp:extent cx="6177915" cy="457200"/>
            <wp:effectExtent l="0" t="0" r="6985" b="0"/>
            <wp:docPr id="872271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71255" name="Рисунок 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01522" cy="45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72"/>
        </w:tabs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Важной частью при изучении взаимодействия гамма-квантов с веществом является сечение реакции. Сечение реакции – величина, характеризующая взаимодействие двух частиц. Единица измерения – барн (1 барн=</w:t>
      </w:r>
      <m:oMath>
        <m:sSup>
          <m:sSupPr>
            <m:ctrlPr>
              <w:rPr>
                <w:rFonts w:ascii="Cambria Math" w:hAnsi="Cambria Math" w:cs="Times New Roman" w:eastAsiaTheme="minorEastAsia"/>
                <w:i/>
              </w:rPr>
            </m:ctrlPr>
          </m:sSupPr>
          <m:e>
            <m:r>
              <m:rPr/>
              <w:rPr>
                <w:rFonts w:ascii="Cambria Math" w:hAnsi="Cambria Math" w:cs="Times New Roman" w:eastAsiaTheme="minorEastAsia"/>
              </w:rPr>
              <m:t>10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e>
          <m:sup>
            <m:r>
              <m:rPr/>
              <w:rPr>
                <w:rFonts w:ascii="Cambria Math" w:hAnsi="Cambria Math" w:cs="Times New Roman" w:eastAsiaTheme="minorEastAsia"/>
              </w:rPr>
              <m:t>−28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p>
        </m:sSup>
        <m:sSup>
          <m:sSupPr>
            <m:ctrlPr>
              <w:rPr>
                <w:rFonts w:ascii="Cambria Math" w:hAnsi="Cambria Math" w:cs="Times New Roman" w:eastAsiaTheme="minorEastAsia"/>
                <w:i/>
              </w:rPr>
            </m:ctrlPr>
          </m:sSupPr>
          <m:e>
            <m:r>
              <m:rPr/>
              <w:rPr>
                <w:rFonts w:ascii="Cambria Math" w:hAnsi="Cambria Math" w:cs="Times New Roman" w:eastAsiaTheme="minorEastAsia"/>
              </w:rPr>
              <m:t>м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e>
          <m:sup>
            <m:r>
              <m:rPr/>
              <w:rPr>
                <w:rFonts w:ascii="Cambria Math" w:hAnsi="Cambria Math" w:cs="Times New Roman" w:eastAsiaTheme="minorEastAsia"/>
              </w:rPr>
              <m:t>2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p>
        </m:sSup>
      </m:oMath>
      <w:r>
        <w:rPr>
          <w:rFonts w:ascii="Times New Roman" w:hAnsi="Times New Roman" w:cs="Times New Roman" w:eastAsiaTheme="minorEastAsia"/>
        </w:rPr>
        <w:t>). Число взаимодействий можно определить соотношением:</w:t>
      </w:r>
    </w:p>
    <w:p>
      <w:pPr>
        <w:tabs>
          <w:tab w:val="left" w:pos="1172"/>
        </w:tabs>
        <w:jc w:val="both"/>
        <w:rPr>
          <w:rFonts w:ascii="Times New Roman" w:hAnsi="Times New Roman" w:cs="Times New Roman" w:eastAsiaTheme="minorEastAsia"/>
          <w:i/>
        </w:rPr>
      </w:pPr>
      <m:oMathPara>
        <m:oMath>
          <m:sSup>
            <m:sSupPr>
              <m:ctrlPr>
                <w:rPr>
                  <w:rFonts w:ascii="Cambria Math" w:hAnsi="Cambria Math" w:cs="Times New Roman" w:eastAsiaTheme="minorEastAsia"/>
                  <w:i/>
                </w:rPr>
              </m:ctrlPr>
            </m:sSupPr>
            <m:e>
              <m:r>
                <m:rPr/>
                <w:rPr>
                  <w:rFonts w:ascii="Cambria Math" w:hAnsi="Cambria Math" w:cs="Times New Roman" w:eastAsiaTheme="minorEastAsia"/>
                </w:rPr>
                <m:t>N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e>
            <m:sup>
              <m:r>
                <m:rPr/>
                <w:rPr>
                  <w:rFonts w:ascii="Cambria Math" w:hAnsi="Cambria Math" w:cs="Times New Roman" w:eastAsiaTheme="minorEastAsia"/>
                </w:rPr>
                <m:t>'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sup>
          </m:sSup>
          <m:r>
            <m:rPr/>
            <w:rPr>
              <w:rFonts w:ascii="Cambria Math" w:hAnsi="Cambria Math" w:cs="Times New Roman" w:eastAsiaTheme="minorEastAsia"/>
            </w:rPr>
            <m:t>=</m:t>
          </m:r>
          <m:sSub>
            <m:sSubPr>
              <m:ctrlPr>
                <w:rPr>
                  <w:rFonts w:ascii="Cambria Math" w:hAnsi="Cambria Math" w:cs="Times New Roman" w:eastAsiaTheme="minorEastAsia"/>
                  <w:i/>
                </w:rPr>
              </m:ctrlPr>
            </m:sSubPr>
            <m:e>
              <m:r>
                <m:rPr/>
                <w:rPr>
                  <w:rFonts w:ascii="Cambria Math" w:hAnsi="Cambria Math" w:cs="Times New Roman" w:eastAsiaTheme="minorEastAsia"/>
                  <w:lang w:val="en-US"/>
                </w:rPr>
                <m:t>N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e>
            <m:sub>
              <m:r>
                <m:rPr/>
                <w:rPr>
                  <w:rFonts w:ascii="Cambria Math" w:hAnsi="Cambria Math" w:cs="Times New Roman" w:eastAsiaTheme="minorEastAsia"/>
                </w:rPr>
                <m:t>0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sub>
          </m:sSub>
          <m:r>
            <m:rPr/>
            <w:rPr>
              <w:rFonts w:ascii="Cambria Math" w:hAnsi="Cambria Math" w:cs="Times New Roman" w:eastAsiaTheme="minorEastAsia"/>
            </w:rPr>
            <m:t>σn</m:t>
          </m:r>
        </m:oMath>
      </m:oMathPara>
    </w:p>
    <w:p>
      <w:pPr>
        <w:tabs>
          <w:tab w:val="left" w:pos="1172"/>
        </w:tabs>
        <w:jc w:val="both"/>
        <w:rPr>
          <w:rFonts w:ascii="Times New Roman" w:hAnsi="Times New Roman" w:cs="Times New Roman" w:eastAsiaTheme="minorEastAsia"/>
        </w:rPr>
      </w:pPr>
      <m:oMath>
        <m:r>
          <m:rPr/>
          <w:rPr>
            <w:rFonts w:ascii="Cambria Math" w:hAnsi="Cambria Math" w:cs="Times New Roman" w:eastAsiaTheme="minorEastAsia"/>
          </w:rPr>
          <m:t>σ</m:t>
        </m:r>
      </m:oMath>
      <w:r>
        <w:rPr>
          <w:rFonts w:ascii="Times New Roman" w:hAnsi="Times New Roman" w:cs="Times New Roman" w:eastAsiaTheme="minorEastAsia"/>
        </w:rPr>
        <w:t xml:space="preserve"> – сечение реакции, </w:t>
      </w:r>
      <w:r>
        <w:rPr>
          <w:rFonts w:ascii="Times New Roman" w:hAnsi="Times New Roman" w:cs="Times New Roman" w:eastAsiaTheme="minorEastAsia"/>
          <w:lang w:val="en-US"/>
        </w:rPr>
        <w:t>n</w:t>
      </w:r>
      <w:r>
        <w:rPr>
          <w:rFonts w:ascii="Times New Roman" w:hAnsi="Times New Roman" w:cs="Times New Roman" w:eastAsiaTheme="minorEastAsia"/>
        </w:rPr>
        <w:t xml:space="preserve"> – количество ядер, находящихся на площади сенсора. </w:t>
      </w:r>
    </w:p>
    <w:p>
      <w:pPr>
        <w:tabs>
          <w:tab w:val="left" w:pos="1172"/>
        </w:tabs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Если нам известна толщина сенсора - </w:t>
      </w:r>
      <w:r>
        <w:rPr>
          <w:rFonts w:ascii="Times New Roman" w:hAnsi="Times New Roman" w:cs="Times New Roman" w:eastAsiaTheme="minorEastAsia"/>
          <w:lang w:val="en-US"/>
        </w:rPr>
        <w:t>d</w:t>
      </w:r>
      <w:r>
        <w:rPr>
          <w:rFonts w:ascii="Times New Roman" w:hAnsi="Times New Roman" w:cs="Times New Roman" w:eastAsiaTheme="minorEastAsia"/>
        </w:rPr>
        <w:t>, то количество частиц мишени на единицу площади можно рассчитать:</w:t>
      </w:r>
    </w:p>
    <w:p>
      <w:pPr>
        <w:tabs>
          <w:tab w:val="left" w:pos="1172"/>
        </w:tabs>
        <w:jc w:val="both"/>
        <w:rPr>
          <w:rFonts w:ascii="Times New Roman" w:hAnsi="Times New Roman" w:cs="Times New Roman" w:eastAsiaTheme="minorEastAsia"/>
          <w:iCs/>
        </w:rPr>
      </w:pPr>
      <m:oMathPara>
        <m:oMath>
          <m:r>
            <m:rPr/>
            <w:rPr>
              <w:rFonts w:ascii="Cambria Math" w:hAnsi="Cambria Math" w:cs="Times New Roman" w:eastAsiaTheme="minorEastAsia"/>
            </w:rPr>
            <m:t>n=</m:t>
          </m:r>
          <m:f>
            <m:fPr>
              <m:ctrlPr>
                <w:rPr>
                  <w:rFonts w:ascii="Cambria Math" w:hAnsi="Cambria Math" w:cs="Times New Roman" w:eastAsiaTheme="minorEastAsia"/>
                  <w:i/>
                  <w:iCs/>
                </w:rPr>
              </m:ctrlPr>
            </m:fPr>
            <m:num>
              <m:r>
                <m:rPr/>
                <w:rPr>
                  <w:rFonts w:ascii="Cambria Math" w:hAnsi="Cambria Math" w:cs="Times New Roman" w:eastAsiaTheme="minorEastAsia"/>
                </w:rPr>
                <m:t>ρd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iCs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iCs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iCs/>
                    </w:rPr>
                  </m:ctrlPr>
                </m:sub>
              </m:sSub>
              <m:ctrlPr>
                <w:rPr>
                  <w:rFonts w:ascii="Cambria Math" w:hAnsi="Cambria Math" w:cs="Times New Roman" w:eastAsiaTheme="minorEastAsia"/>
                  <w:i/>
                  <w:iCs/>
                </w:rPr>
              </m:ctrlPr>
            </m:num>
            <m:den>
              <m:r>
                <m:rPr/>
                <w:rPr>
                  <w:rFonts w:ascii="Cambria Math" w:hAnsi="Cambria Math" w:cs="Times New Roman" w:eastAsiaTheme="minorEastAsia"/>
                </w:rPr>
                <m:t>A</m:t>
              </m:r>
              <m:ctrlPr>
                <w:rPr>
                  <w:rFonts w:ascii="Cambria Math" w:hAnsi="Cambria Math" w:cs="Times New Roman" w:eastAsiaTheme="minorEastAsia"/>
                  <w:i/>
                  <w:iCs/>
                </w:rPr>
              </m:ctrlPr>
            </m:den>
          </m:f>
        </m:oMath>
      </m:oMathPara>
    </w:p>
    <w:p>
      <w:pPr>
        <w:spacing w:after="160" w:line="259" w:lineRule="auto"/>
        <w:ind w:firstLine="280" w:firstLineChars="100"/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t>Эксперимент №1. Расчет и оценка количества частиц, попавших на детектор и провзаимодействовавших с веществом детектора.</w:t>
      </w:r>
    </w:p>
    <w:p>
      <w:pPr>
        <w:spacing w:after="160" w:line="259" w:lineRule="auto"/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t>Крышку источника необходимо установить в положение 2 (</w:t>
      </w:r>
      <w:r>
        <w:rPr>
          <w:rFonts w:ascii="Times New Roman" w:hAnsi="Times New Roman" w:cs="Times New Roman" w:eastAsiaTheme="minorEastAsia"/>
        </w:rPr>
        <w:t>частицы выходят через 13 отверстий диаметром 2мм. Наиболее интенсивный поток частиц</w:t>
      </w:r>
      <w:r>
        <w:rPr>
          <w:rFonts w:ascii="Times New Roman" w:hAnsi="Times New Roman" w:cs="Times New Roman" w:eastAsiaTheme="minorEastAsia"/>
          <w:iCs/>
        </w:rPr>
        <w:t>). Так как мы изучаем гамма-излучение, то нужно экранировать альфа-частицы.</w:t>
      </w:r>
    </w:p>
    <w:p>
      <w:pPr>
        <w:tabs>
          <w:tab w:val="left" w:pos="1172"/>
        </w:tabs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t xml:space="preserve">Параметры эксперимента: </w:t>
      </w:r>
    </w:p>
    <w:p>
      <w:pPr>
        <w:tabs>
          <w:tab w:val="left" w:pos="1172"/>
        </w:tabs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4445</wp:posOffset>
            </wp:positionV>
            <wp:extent cx="2081530" cy="740410"/>
            <wp:effectExtent l="0" t="0" r="1270" b="8890"/>
            <wp:wrapTight wrapText="bothSides">
              <wp:wrapPolygon>
                <wp:start x="0" y="0"/>
                <wp:lineTo x="0" y="21118"/>
                <wp:lineTo x="21481" y="21118"/>
                <wp:lineTo x="21481" y="0"/>
                <wp:lineTo x="0" y="0"/>
              </wp:wrapPolygon>
            </wp:wrapTight>
            <wp:docPr id="1626836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36604" name="Рисунок 1"/>
                    <pic:cNvPicPr>
                      <a:picLocks noChangeAspect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iCs/>
        </w:rPr>
        <w:drawing>
          <wp:inline distT="0" distB="0" distL="0" distR="0">
            <wp:extent cx="3371850" cy="714375"/>
            <wp:effectExtent l="0" t="0" r="6350" b="9525"/>
            <wp:docPr id="1684315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15001" name="Рисунок 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72"/>
        </w:tabs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t>Результаты измерений:</w:t>
      </w: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  <w:iCs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263525</wp:posOffset>
            </wp:positionV>
            <wp:extent cx="2756535" cy="1860550"/>
            <wp:effectExtent l="0" t="0" r="12065" b="6350"/>
            <wp:wrapTight wrapText="bothSides">
              <wp:wrapPolygon>
                <wp:start x="0" y="0"/>
                <wp:lineTo x="0" y="21526"/>
                <wp:lineTo x="21496" y="21526"/>
                <wp:lineTo x="21496" y="0"/>
                <wp:lineTo x="0" y="0"/>
              </wp:wrapPolygon>
            </wp:wrapTight>
            <wp:docPr id="1071742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42007" name="Рисунок 1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45720</wp:posOffset>
            </wp:positionV>
            <wp:extent cx="3836035" cy="1842770"/>
            <wp:effectExtent l="0" t="0" r="12065" b="11430"/>
            <wp:wrapTight wrapText="bothSides">
              <wp:wrapPolygon>
                <wp:start x="0" y="0"/>
                <wp:lineTo x="0" y="21436"/>
                <wp:lineTo x="21525" y="21436"/>
                <wp:lineTo x="21525" y="0"/>
                <wp:lineTo x="0" y="0"/>
              </wp:wrapPolygon>
            </wp:wrapTight>
            <wp:docPr id="387338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38564" name="Рисунок 1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</w:rPr>
        <w:t>Зная активность источника (А=9,5 кБк), расстояние между источником и детектором (</w:t>
      </w:r>
      <w:r>
        <w:rPr>
          <w:rFonts w:ascii="Times New Roman" w:hAnsi="Times New Roman" w:cs="Times New Roman" w:eastAsiaTheme="minorEastAsia"/>
          <w:lang w:val="en-US"/>
        </w:rPr>
        <w:t>r</w:t>
      </w:r>
      <w:r>
        <w:rPr>
          <w:rFonts w:ascii="Times New Roman" w:hAnsi="Times New Roman" w:cs="Times New Roman" w:eastAsiaTheme="minorEastAsia"/>
        </w:rPr>
        <w:t>=5 мм) и площадь сенсора (14*14мм), считая источник точечным, мы можем рассчитать количество фотонов от источника, попавших на детектор. Так как источник точечный, то он излучает во все стороны, образуя сферу.</w:t>
      </w:r>
    </w:p>
    <w:p>
      <w:pPr>
        <w:tabs>
          <w:tab w:val="left" w:pos="1172"/>
        </w:tabs>
        <w:jc w:val="both"/>
        <w:rPr>
          <w:rFonts w:ascii="Times New Roman" w:hAnsi="Times New Roman" w:cs="Times New Roman"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 w:cs="Times New Roman" w:eastAsiaTheme="minorEastAsia"/>
                  <w:i/>
                </w:rPr>
              </m:ctrlPr>
            </m:sSubPr>
            <m:e>
              <m:r>
                <m:rPr/>
                <w:rPr>
                  <w:rFonts w:ascii="Cambria Math" w:hAnsi="Cambria Math" w:cs="Times New Roman" w:eastAsiaTheme="minorEastAsia"/>
                  <w:lang w:val="en-US"/>
                </w:rPr>
                <m:t>N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e>
            <m:sub>
              <m:r>
                <m:rPr/>
                <w:rPr>
                  <w:rFonts w:ascii="Cambria Math" w:hAnsi="Cambria Math" w:cs="Times New Roman" w:eastAsiaTheme="minorEastAsia"/>
                </w:rPr>
                <m:t>0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sub>
          </m:sSub>
          <m:d>
            <m:dPr>
              <m:ctrlPr>
                <w:rPr>
                  <w:rFonts w:ascii="Cambria Math" w:hAnsi="Cambria Math" w:cs="Times New Roman" w:eastAsiaTheme="minorEastAsia"/>
                  <w:i/>
                </w:rPr>
              </m:ctrlPr>
            </m:dPr>
            <m:e>
              <m:r>
                <m:rPr/>
                <w:rPr>
                  <w:rFonts w:ascii="Cambria Math" w:hAnsi="Cambria Math" w:cs="Times New Roman" w:eastAsiaTheme="minorEastAsia"/>
                </w:rPr>
                <m:t>рас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e>
          </m:d>
          <m:r>
            <m:rPr/>
            <w:rPr>
              <w:rFonts w:ascii="Cambria Math" w:hAnsi="Cambria Math" w:cs="Times New Roman" w:eastAsiaTheme="minorEastAsia"/>
            </w:rPr>
            <m:t>=</m:t>
          </m:r>
          <m:r>
            <m:rPr/>
            <w:rPr>
              <w:rFonts w:ascii="Cambria Math" w:hAnsi="Cambria Math" w:cs="Times New Roman" w:eastAsiaTheme="minorEastAsia"/>
              <w:lang w:val="en-US"/>
            </w:rPr>
            <m:t>A∗t∗</m:t>
          </m:r>
          <m:f>
            <m:fPr>
              <m:ctrlPr>
                <w:rPr>
                  <w:rFonts w:ascii="Cambria Math" w:hAnsi="Cambria Math" w:cs="Times New Roman" w:eastAsiaTheme="minorEastAsia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lang w:val="en-US"/>
                    </w:rPr>
                    <m:t>S</m:t>
                  </m:r>
                  <m:ctrlPr>
                    <w:rPr>
                      <w:rFonts w:ascii="Cambria Math" w:hAnsi="Cambria Math" w:cs="Times New Roman" w:eastAsiaTheme="minorEastAsia"/>
                      <w:i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lang w:val="en-US"/>
                    </w:rPr>
                    <m:t>дет</m:t>
                  </m:r>
                  <m:ctrlPr>
                    <w:rPr>
                      <w:rFonts w:ascii="Cambria Math" w:hAnsi="Cambria Math" w:cs="Times New Roman" w:eastAsiaTheme="minorEastAsia"/>
                      <w:i/>
                      <w:lang w:val="en-US"/>
                    </w:rPr>
                  </m:ctrlPr>
                </m:sub>
              </m:sSub>
              <m:ctrlPr>
                <w:rPr>
                  <w:rFonts w:ascii="Cambria Math" w:hAnsi="Cambria Math" w:cs="Times New Roman" w:eastAsiaTheme="minorEastAsia"/>
                  <w:i/>
                  <w:lang w:val="en-US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lang w:val="en-US"/>
                    </w:rPr>
                    <m:t>S</m:t>
                  </m:r>
                  <m:ctrlPr>
                    <w:rPr>
                      <w:rFonts w:ascii="Cambria Math" w:hAnsi="Cambria Math" w:cs="Times New Roman" w:eastAsiaTheme="minorEastAsia"/>
                      <w:i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lang w:val="en-US"/>
                    </w:rPr>
                    <m:t>сф</m:t>
                  </m:r>
                  <m:ctrlPr>
                    <w:rPr>
                      <w:rFonts w:ascii="Cambria Math" w:hAnsi="Cambria Math" w:cs="Times New Roman" w:eastAsiaTheme="minorEastAsia"/>
                      <w:i/>
                      <w:lang w:val="en-US"/>
                    </w:rPr>
                  </m:ctrlPr>
                </m:sub>
              </m:sSub>
              <m:ctrlPr>
                <w:rPr>
                  <w:rFonts w:ascii="Cambria Math" w:hAnsi="Cambria Math" w:cs="Times New Roman" w:eastAsiaTheme="minorEastAsia"/>
                  <w:i/>
                  <w:lang w:val="en-US"/>
                </w:rPr>
              </m:ctrlPr>
            </m:den>
          </m:f>
          <m:r>
            <m:rPr/>
            <w:rPr>
              <w:rFonts w:ascii="Cambria Math" w:hAnsi="Cambria Math" w:cs="Times New Roman" w:eastAsiaTheme="minorEastAsia"/>
              <w:lang w:val="en-US"/>
            </w:rPr>
            <m:t>≈2,24</m:t>
          </m:r>
          <m:r>
            <m:rPr/>
            <w:rPr>
              <w:rFonts w:ascii="Cambria Math" w:hAnsi="Cambria Math" w:cs="Times New Roman" w:eastAsiaTheme="minorEastAsia"/>
            </w:rPr>
            <m:t>∗</m:t>
          </m:r>
          <m:sSup>
            <m:sSupPr>
              <m:ctrlPr>
                <w:rPr>
                  <w:rFonts w:ascii="Cambria Math" w:hAnsi="Cambria Math" w:cs="Times New Roman" w:eastAsiaTheme="minorEastAsia"/>
                  <w:i/>
                </w:rPr>
              </m:ctrlPr>
            </m:sSupPr>
            <m:e>
              <m:r>
                <m:rPr/>
                <w:rPr>
                  <w:rFonts w:ascii="Cambria Math" w:hAnsi="Cambria Math" w:cs="Times New Roman" w:eastAsiaTheme="minorEastAsia"/>
                </w:rPr>
                <m:t>10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e>
            <m:sup>
              <m:r>
                <m:rPr/>
                <w:rPr>
                  <w:rFonts w:ascii="Cambria Math" w:hAnsi="Cambria Math" w:cs="Times New Roman" w:eastAsiaTheme="minorEastAsia"/>
                </w:rPr>
                <m:t>6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sup>
          </m:sSup>
        </m:oMath>
      </m:oMathPara>
    </w:p>
    <w:p>
      <w:pPr>
        <w:tabs>
          <w:tab w:val="left" w:pos="1172"/>
        </w:tabs>
        <w:ind w:firstLine="280" w:firstLineChars="100"/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  <w:lang w:val="en-US"/>
        </w:rPr>
        <w:t>t</w:t>
      </w:r>
      <w:r>
        <w:rPr>
          <w:rFonts w:ascii="Times New Roman" w:hAnsi="Times New Roman" w:cs="Times New Roman" w:eastAsiaTheme="minorEastAsia"/>
          <w:iCs/>
        </w:rPr>
        <w:t>=377,81с.</w:t>
      </w:r>
    </w:p>
    <w:p>
      <w:pPr>
        <w:tabs>
          <w:tab w:val="left" w:pos="1172"/>
        </w:tabs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t xml:space="preserve">Зная зависимость вероятности регистрации фотона от его энергии, рассчитаем количество провзаимодействовавших частиц с веществом детектора. При Е=60 кэВ </w:t>
      </w:r>
      <w:r>
        <w:rPr>
          <w:rFonts w:ascii="Times New Roman" w:hAnsi="Times New Roman" w:cs="Times New Roman" w:eastAsiaTheme="minorEastAsia"/>
          <w:iCs/>
          <w:lang w:val="en-US"/>
        </w:rPr>
        <w:t>P=2,21%</w:t>
      </w:r>
      <w:r>
        <w:rPr>
          <w:rFonts w:ascii="Times New Roman" w:hAnsi="Times New Roman" w:cs="Times New Roman" w:eastAsiaTheme="minorEastAsia"/>
          <w:iCs/>
        </w:rPr>
        <w:t>:</w:t>
      </w:r>
    </w:p>
    <w:p>
      <w:pPr>
        <w:jc w:val="both"/>
        <w:rPr>
          <w:rFonts w:ascii="Times New Roman" w:hAnsi="Times New Roman" w:cs="Times New Roman" w:eastAsiaTheme="minorEastAsia"/>
        </w:rPr>
      </w:pPr>
      <m:oMathPara>
        <m:oMath>
          <m:r>
            <m:rPr/>
            <w:rPr>
              <w:rFonts w:ascii="Cambria Math" w:hAnsi="Cambria Math" w:cs="Times New Roman" w:eastAsiaTheme="minorEastAsia"/>
            </w:rPr>
            <m:t>N'=</m:t>
          </m:r>
          <m:f>
            <m:fPr>
              <m:ctrlPr>
                <w:rPr>
                  <w:rFonts w:ascii="Cambria Math" w:hAnsi="Cambria Math" w:cs="Times New Roman" w:eastAsiaTheme="minorEastAsia"/>
                  <w:i/>
                </w:rPr>
              </m:ctrlPr>
            </m:fPr>
            <m:num>
              <m:r>
                <m:rPr/>
                <w:rPr>
                  <w:rFonts w:ascii="Cambria Math" w:hAnsi="Cambria Math" w:cs="Times New Roman" w:eastAsiaTheme="minorEastAsia"/>
                </w:rPr>
                <m:t>P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</w:rPr>
                    <m:t>0</m:t>
                  </m:r>
                  <m:ctrlPr>
                    <w:rPr>
                      <w:rFonts w:ascii="Cambria Math" w:hAnsi="Cambria Math" w:cs="Times New Roman" w:eastAsiaTheme="minorEastAsia"/>
                      <w:i/>
                    </w:rPr>
                  </m:ctrlPr>
                </m:sub>
              </m:sSub>
              <m:ctrlPr>
                <w:rPr>
                  <w:rFonts w:ascii="Cambria Math" w:hAnsi="Cambria Math" w:cs="Times New Roman" w:eastAsiaTheme="minorEastAsia"/>
                  <w:i/>
                </w:rPr>
              </m:ctrlPr>
            </m:num>
            <m:den>
              <m:r>
                <m:rPr/>
                <w:rPr>
                  <w:rFonts w:ascii="Cambria Math" w:hAnsi="Cambria Math" w:cs="Times New Roman" w:eastAsiaTheme="minorEastAsia"/>
                </w:rPr>
                <m:t>100%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den>
          </m:f>
          <m:r>
            <m:rPr/>
            <w:rPr>
              <w:rFonts w:ascii="Cambria Math" w:hAnsi="Cambria Math" w:cs="Times New Roman" w:eastAsiaTheme="minorEastAsia"/>
            </w:rPr>
            <m:t>≈49504</m:t>
          </m:r>
        </m:oMath>
      </m:oMathPara>
    </w:p>
    <w:p>
      <w:pPr>
        <w:ind w:firstLine="280" w:firstLineChars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Рассчитанное количество частиц провзаимодействовавших с веществом детектора намного больше полученного экспериментально, потому что в рассчитанном мы считаем, что источник у нас точечный, значит гамма-кванты распространяются равномерно во всех направления образуя сферу. В эксперименте же радиоактивный источник находится в дюралюминии и частицы выходят всего лишь через 13 отверстий, что значительно сокращает количество частиц, попавших на детектор и количество провзаимодействовавших с веществом детектора.</w:t>
      </w:r>
    </w:p>
    <w:p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Используя значения полученные экспериментально, оценим сечение реакции фотонов с энергией Е=60 кэВ:</w:t>
      </w:r>
    </w:p>
    <w:p>
      <w:pPr>
        <w:tabs>
          <w:tab w:val="left" w:pos="1172"/>
        </w:tabs>
        <w:jc w:val="both"/>
        <w:rPr>
          <w:rFonts w:ascii="Times New Roman" w:hAnsi="Times New Roman" w:cs="Times New Roman" w:eastAsiaTheme="minorEastAsia"/>
          <w:iCs/>
        </w:rPr>
      </w:pPr>
      <m:oMathPara>
        <m:oMath>
          <m:r>
            <m:rPr/>
            <w:rPr>
              <w:rFonts w:ascii="Cambria Math" w:hAnsi="Cambria Math" w:cs="Times New Roman" w:eastAsiaTheme="minorEastAsia"/>
            </w:rPr>
            <m:t>σ=</m:t>
          </m:r>
          <m:f>
            <m:fPr>
              <m:ctrlPr>
                <w:rPr>
                  <w:rFonts w:ascii="Cambria Math" w:hAnsi="Cambria Math" w:cs="Times New Roman" w:eastAsiaTheme="minorEastAsia"/>
                  <w:i/>
                </w:rPr>
              </m:ctrlPr>
            </m:fPr>
            <m:num>
              <m:r>
                <m:rPr/>
                <w:rPr>
                  <w:rFonts w:ascii="Cambria Math" w:hAnsi="Cambria Math" w:cs="Times New Roman" w:eastAsiaTheme="minorEastAsia"/>
                </w:rPr>
                <m:t>Р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num>
            <m:den>
              <m:r>
                <m:rPr/>
                <w:rPr>
                  <w:rFonts w:ascii="Cambria Math" w:hAnsi="Cambria Math" w:cs="Times New Roman" w:eastAsiaTheme="minorEastAsia"/>
                </w:rPr>
                <m:t>n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den>
          </m:f>
          <m:r>
            <m:rPr/>
            <w:rPr>
              <w:rFonts w:ascii="Cambria Math" w:hAnsi="Cambria Math" w:cs="Times New Roman" w:eastAsiaTheme="minorEastAsia"/>
            </w:rPr>
            <m:t>=</m:t>
          </m:r>
          <m:f>
            <m:fPr>
              <m:ctrlPr>
                <w:rPr>
                  <w:rFonts w:ascii="Cambria Math" w:hAnsi="Cambria Math" w:cs="Times New Roman" w:eastAsiaTheme="minorEastAsia"/>
                  <w:i/>
                </w:rPr>
              </m:ctrlPr>
            </m:fPr>
            <m:num>
              <m:r>
                <m:rPr/>
                <w:rPr>
                  <w:rFonts w:ascii="Cambria Math" w:hAnsi="Cambria Math" w:cs="Times New Roman" w:eastAsiaTheme="minorEastAsia"/>
                </w:rPr>
                <m:t>Р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num>
            <m:den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iCs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</w:rPr>
                    <m:t>ρd</m:t>
                  </m:r>
                  <m:sSub>
                    <m:sSubPr>
                      <m:ctrlPr>
                        <w:rPr>
                          <w:rFonts w:ascii="Cambria Math" w:hAnsi="Cambria Math" w:cs="Times New Roman" w:eastAsiaTheme="minorEastAsia"/>
                          <w:i/>
                          <w:iCs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</w:rPr>
                        <m:t>N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iCs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 w:eastAsiaTheme="minorEastAsia"/>
                        </w:rPr>
                        <m:t>A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iCs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 w:eastAsiaTheme="minorEastAsia"/>
                      <w:i/>
                      <w:iCs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iCs/>
                    </w:rPr>
                  </m:ctrlPr>
                </m:den>
              </m:f>
              <m:ctrlPr>
                <w:rPr>
                  <w:rFonts w:ascii="Cambria Math" w:hAnsi="Cambria Math" w:cs="Times New Roman" w:eastAsiaTheme="minorEastAsia"/>
                  <w:i/>
                </w:rPr>
              </m:ctrlPr>
            </m:den>
          </m:f>
          <m:r>
            <m:rPr/>
            <w:rPr>
              <w:rFonts w:ascii="Cambria Math" w:hAnsi="Cambria Math" w:cs="Times New Roman" w:eastAsiaTheme="minorEastAsia"/>
            </w:rPr>
            <m:t>÷</m:t>
          </m:r>
          <m:sSup>
            <m:sSupPr>
              <m:ctrlPr>
                <w:rPr>
                  <w:rFonts w:ascii="Cambria Math" w:hAnsi="Cambria Math" w:cs="Times New Roman" w:eastAsiaTheme="minorEastAsia"/>
                  <w:i/>
                </w:rPr>
              </m:ctrlPr>
            </m:sSupPr>
            <m:e>
              <m:r>
                <m:rPr/>
                <w:rPr>
                  <w:rFonts w:ascii="Cambria Math" w:hAnsi="Cambria Math" w:cs="Times New Roman" w:eastAsiaTheme="minorEastAsia"/>
                </w:rPr>
                <m:t>10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e>
            <m:sup>
              <m:r>
                <m:rPr/>
                <w:rPr>
                  <w:rFonts w:ascii="Cambria Math" w:hAnsi="Cambria Math" w:cs="Times New Roman" w:eastAsiaTheme="minorEastAsia"/>
                </w:rPr>
                <m:t>−28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sup>
          </m:sSup>
          <m:r>
            <m:rPr/>
            <w:rPr>
              <w:rFonts w:ascii="Cambria Math" w:hAnsi="Cambria Math" w:cs="Times New Roman" w:eastAsiaTheme="minorEastAsia"/>
            </w:rPr>
            <m:t>≈1,46∗</m:t>
          </m:r>
          <m:sSup>
            <m:sSupPr>
              <m:ctrlPr>
                <w:rPr>
                  <w:rFonts w:ascii="Cambria Math" w:hAnsi="Cambria Math" w:cs="Times New Roman" w:eastAsiaTheme="minorEastAsia"/>
                  <w:i/>
                </w:rPr>
              </m:ctrlPr>
            </m:sSupPr>
            <m:e>
              <m:r>
                <m:rPr/>
                <w:rPr>
                  <w:rFonts w:ascii="Cambria Math" w:hAnsi="Cambria Math" w:cs="Times New Roman" w:eastAsiaTheme="minorEastAsia"/>
                </w:rPr>
                <m:t>10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e>
            <m:sup>
              <m:r>
                <m:rPr/>
                <w:rPr>
                  <w:rFonts w:ascii="Cambria Math" w:hAnsi="Cambria Math" w:cs="Times New Roman" w:eastAsiaTheme="minorEastAsia"/>
                </w:rPr>
                <m:t>6</m:t>
              </m:r>
              <m:ctrlPr>
                <w:rPr>
                  <w:rFonts w:ascii="Cambria Math" w:hAnsi="Cambria Math" w:cs="Times New Roman" w:eastAsiaTheme="minorEastAsia"/>
                  <w:i/>
                </w:rPr>
              </m:ctrlPr>
            </m:sup>
          </m:sSup>
          <m:r>
            <m:rPr/>
            <w:rPr>
              <w:rFonts w:ascii="Cambria Math" w:hAnsi="Cambria Math" w:cs="Times New Roman" w:eastAsiaTheme="minorEastAsia"/>
            </w:rPr>
            <m:t xml:space="preserve"> барн</m:t>
          </m:r>
        </m:oMath>
      </m:oMathPara>
    </w:p>
    <w:p>
      <w:pPr>
        <w:ind w:firstLine="708"/>
        <w:jc w:val="both"/>
        <w:rPr>
          <w:rFonts w:ascii="Times New Roman" w:hAnsi="Times New Roman" w:cs="Times New Roman" w:eastAsiaTheme="minorEastAsia"/>
          <w:iCs/>
        </w:rPr>
      </w:pPr>
      <m:oMath>
        <m:r>
          <m:rPr/>
          <w:rPr>
            <w:rFonts w:ascii="Cambria Math" w:hAnsi="Cambria Math" w:cs="Times New Roman" w:eastAsiaTheme="minorEastAsia"/>
          </w:rPr>
          <m:t>ρ=2330кг/</m:t>
        </m:r>
        <m:sSup>
          <m:sSupPr>
            <m:ctrlPr>
              <w:rPr>
                <w:rFonts w:ascii="Cambria Math" w:hAnsi="Cambria Math" w:cs="Times New Roman" w:eastAsiaTheme="minorEastAsia"/>
                <w:i/>
                <w:iCs/>
              </w:rPr>
            </m:ctrlPr>
          </m:sSupPr>
          <m:e>
            <m:r>
              <m:rPr/>
              <w:rPr>
                <w:rFonts w:ascii="Cambria Math" w:hAnsi="Cambria Math" w:cs="Times New Roman" w:eastAsiaTheme="minorEastAsia"/>
              </w:rPr>
              <m:t>м</m:t>
            </m:r>
            <m:ctrlPr>
              <w:rPr>
                <w:rFonts w:ascii="Cambria Math" w:hAnsi="Cambria Math" w:cs="Times New Roman" w:eastAsiaTheme="minorEastAsia"/>
                <w:i/>
                <w:iCs/>
              </w:rPr>
            </m:ctrlPr>
          </m:e>
          <m:sup>
            <m:r>
              <m:rPr/>
              <w:rPr>
                <w:rFonts w:ascii="Cambria Math" w:hAnsi="Cambria Math" w:cs="Times New Roman" w:eastAsiaTheme="minorEastAsia"/>
              </w:rPr>
              <m:t>3</m:t>
            </m:r>
            <m:ctrlPr>
              <w:rPr>
                <w:rFonts w:ascii="Cambria Math" w:hAnsi="Cambria Math" w:cs="Times New Roman" w:eastAsiaTheme="minorEastAsia"/>
                <w:i/>
                <w:iCs/>
              </w:rPr>
            </m:ctrlPr>
          </m:sup>
        </m:sSup>
      </m:oMath>
      <w:r>
        <w:rPr>
          <w:rFonts w:ascii="Times New Roman" w:hAnsi="Times New Roman" w:cs="Times New Roman" w:eastAsiaTheme="minorEastAsia"/>
          <w:iCs/>
        </w:rPr>
        <w:t xml:space="preserve">, </w:t>
      </w:r>
      <w:r>
        <w:rPr>
          <w:rFonts w:ascii="Times New Roman" w:hAnsi="Times New Roman" w:cs="Times New Roman" w:eastAsiaTheme="minorEastAsia"/>
          <w:iCs/>
          <w:lang w:val="en-US"/>
        </w:rPr>
        <w:t>d</w:t>
      </w:r>
      <w:r>
        <w:rPr>
          <w:rFonts w:ascii="Times New Roman" w:hAnsi="Times New Roman" w:cs="Times New Roman" w:eastAsiaTheme="minorEastAsia"/>
          <w:iCs/>
        </w:rPr>
        <w:t xml:space="preserve">=300мкм, </w:t>
      </w:r>
      <w:r>
        <w:rPr>
          <w:rFonts w:ascii="Times New Roman" w:hAnsi="Times New Roman" w:cs="Times New Roman" w:eastAsiaTheme="minorEastAsia"/>
          <w:iCs/>
          <w:lang w:val="en-US"/>
        </w:rPr>
        <w:t>A</w:t>
      </w:r>
      <w:r>
        <w:rPr>
          <w:rFonts w:ascii="Times New Roman" w:hAnsi="Times New Roman" w:cs="Times New Roman" w:eastAsiaTheme="minorEastAsia"/>
          <w:iCs/>
        </w:rPr>
        <w:t>=28</w:t>
      </w:r>
    </w:p>
    <w:p>
      <w:pPr>
        <w:ind w:firstLine="708"/>
        <w:jc w:val="both"/>
        <w:rPr>
          <w:rFonts w:ascii="Times New Roman" w:hAnsi="Times New Roman" w:cs="Times New Roman" w:eastAsiaTheme="minorEastAsia"/>
          <w:iCs/>
        </w:rPr>
      </w:pPr>
    </w:p>
    <w:p>
      <w:pPr>
        <w:ind w:firstLine="420" w:firstLineChars="150"/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t>Эксперимент №2. Оценка зависимости энергии фотона и их количества от расстояния между источником и детектором.</w:t>
      </w:r>
    </w:p>
    <w:p>
      <w:pPr>
        <w:ind w:firstLine="708"/>
        <w:jc w:val="both"/>
        <w:rPr>
          <w:rFonts w:ascii="Times New Roman" w:hAnsi="Times New Roman" w:cs="Times New Roman" w:eastAsiaTheme="minorEastAsia"/>
          <w:iCs/>
        </w:rPr>
      </w:pPr>
    </w:p>
    <w:p>
      <w:pPr>
        <w:ind w:firstLine="280" w:firstLineChars="100"/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t>Крышка источника установлена в положение 3 (</w:t>
      </w:r>
      <w:r>
        <w:rPr>
          <w:rFonts w:ascii="Times New Roman" w:hAnsi="Times New Roman" w:cs="Times New Roman" w:eastAsiaTheme="minorEastAsia"/>
        </w:rPr>
        <w:t>частицы выходят через одно отверстие в форме короткого цилиндра диаметром 2мм</w:t>
      </w:r>
      <w:r>
        <w:rPr>
          <w:rFonts w:ascii="Times New Roman" w:hAnsi="Times New Roman" w:cs="Times New Roman" w:eastAsiaTheme="minorEastAsia"/>
          <w:iCs/>
        </w:rPr>
        <w:t>). Используя параметры предыдущего эксперимента, проводится 6 измерений на различных расстояниях между источником и детектором (</w:t>
      </w:r>
      <w:r>
        <w:rPr>
          <w:rFonts w:ascii="Times New Roman" w:hAnsi="Times New Roman" w:cs="Times New Roman" w:eastAsiaTheme="minorEastAsia"/>
          <w:iCs/>
          <w:lang w:val="en-US"/>
        </w:rPr>
        <w:t>d</w:t>
      </w:r>
      <w:r>
        <w:rPr>
          <w:rFonts w:ascii="Times New Roman" w:hAnsi="Times New Roman" w:cs="Times New Roman" w:eastAsiaTheme="minorEastAsia"/>
          <w:iCs/>
        </w:rPr>
        <w:t>). Начиная с 5мм, шаг 5мм.</w:t>
      </w:r>
    </w:p>
    <w:p>
      <w:pPr>
        <w:ind w:firstLine="708"/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t xml:space="preserve">Результаты: </w:t>
      </w:r>
    </w:p>
    <w:p>
      <w:pPr>
        <w:ind w:firstLine="708"/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87630</wp:posOffset>
            </wp:positionV>
            <wp:extent cx="3582035" cy="1609725"/>
            <wp:effectExtent l="0" t="0" r="12065" b="3175"/>
            <wp:wrapTight wrapText="bothSides">
              <wp:wrapPolygon>
                <wp:start x="0" y="0"/>
                <wp:lineTo x="0" y="21472"/>
                <wp:lineTo x="21520" y="21472"/>
                <wp:lineTo x="21520" y="0"/>
                <wp:lineTo x="0" y="0"/>
              </wp:wrapPolygon>
            </wp:wrapTight>
            <wp:docPr id="1196317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17838" name="Рисунок 1"/>
                    <pic:cNvPicPr>
                      <a:picLocks noChangeAspect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708"/>
        <w:jc w:val="both"/>
        <w:rPr>
          <w:rFonts w:ascii="Times New Roman" w:hAnsi="Times New Roman" w:cs="Times New Roman" w:eastAsiaTheme="minorEastAsia"/>
        </w:rPr>
      </w:pPr>
    </w:p>
    <w:p>
      <w:pPr>
        <w:ind w:firstLine="708"/>
        <w:jc w:val="both"/>
        <w:rPr>
          <w:rFonts w:ascii="Times New Roman" w:hAnsi="Times New Roman" w:cs="Times New Roman" w:eastAsiaTheme="minorEastAsia"/>
        </w:rPr>
      </w:pPr>
    </w:p>
    <w:p>
      <w:pPr>
        <w:ind w:firstLine="708"/>
        <w:jc w:val="both"/>
        <w:rPr>
          <w:rFonts w:ascii="Times New Roman" w:hAnsi="Times New Roman" w:cs="Times New Roman" w:eastAsiaTheme="minorEastAsia"/>
        </w:rPr>
      </w:pPr>
    </w:p>
    <w:p>
      <w:pPr>
        <w:ind w:firstLine="708"/>
        <w:jc w:val="both"/>
        <w:rPr>
          <w:rFonts w:ascii="Times New Roman" w:hAnsi="Times New Roman" w:cs="Times New Roman" w:eastAsiaTheme="minorEastAsia"/>
        </w:rPr>
      </w:pPr>
    </w:p>
    <w:p>
      <w:pPr>
        <w:ind w:firstLine="708"/>
        <w:jc w:val="both"/>
        <w:rPr>
          <w:rFonts w:ascii="Times New Roman" w:hAnsi="Times New Roman" w:cs="Times New Roman" w:eastAsiaTheme="minorEastAsia"/>
        </w:rPr>
      </w:pPr>
    </w:p>
    <w:p>
      <w:pPr>
        <w:ind w:firstLine="708"/>
        <w:jc w:val="both"/>
        <w:rPr>
          <w:rFonts w:ascii="Times New Roman" w:hAnsi="Times New Roman" w:cs="Times New Roman" w:eastAsiaTheme="minorEastAsia"/>
        </w:rPr>
      </w:pPr>
    </w:p>
    <w:p>
      <w:pPr>
        <w:ind w:firstLine="708"/>
        <w:jc w:val="both"/>
        <w:rPr>
          <w:rFonts w:ascii="Times New Roman" w:hAnsi="Times New Roman" w:cs="Times New Roman" w:eastAsiaTheme="minorEastAsia"/>
        </w:rPr>
      </w:pPr>
    </w:p>
    <w:p>
      <w:pPr>
        <w:ind w:firstLine="708"/>
        <w:jc w:val="both"/>
        <w:rPr>
          <w:rFonts w:ascii="Times New Roman" w:hAnsi="Times New Roman" w:cs="Times New Roman" w:eastAsiaTheme="minorEastAsia"/>
        </w:rPr>
      </w:pPr>
    </w:p>
    <w:p>
      <w:pPr>
        <w:ind w:firstLine="708"/>
        <w:jc w:val="both"/>
        <w:rPr>
          <w:rFonts w:ascii="Times New Roman" w:hAnsi="Times New Roman" w:cs="Times New Roman" w:eastAsiaTheme="minorEastAsia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Построив график зависимости </w:t>
      </w:r>
      <w:r>
        <w:rPr>
          <w:rFonts w:eastAsiaTheme="minorEastAsia"/>
          <w:sz w:val="28"/>
          <w:szCs w:val="28"/>
          <w:lang w:val="en-US"/>
        </w:rPr>
        <w:t>d</w:t>
      </w:r>
      <w:r>
        <w:rPr>
          <w:rFonts w:eastAsiaTheme="minorEastAsia"/>
          <w:sz w:val="28"/>
          <w:szCs w:val="28"/>
        </w:rPr>
        <w:t xml:space="preserve"> от </w:t>
      </w:r>
      <w:r>
        <w:rPr>
          <w:rFonts w:eastAsiaTheme="minorEastAsia"/>
          <w:sz w:val="28"/>
          <w:szCs w:val="28"/>
          <w:lang w:val="en-US"/>
        </w:rPr>
        <w:t>N</w:t>
      </w:r>
      <w:r>
        <w:rPr>
          <w:rFonts w:eastAsiaTheme="minorEastAsia"/>
          <w:sz w:val="28"/>
          <w:szCs w:val="28"/>
        </w:rPr>
        <w:t>’ для пиков энергии 60кэВ, мы можем сказать, что ч</w:t>
      </w:r>
      <w:r>
        <w:rPr>
          <w:sz w:val="28"/>
          <w:szCs w:val="28"/>
        </w:rPr>
        <w:t xml:space="preserve">исло фотонов провзаимодействовавших с веществом детектора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` уменьшается с увеличением расстояния между источником и детектором, так как интенсивность излучения уменьшается по мере удаления источника. Площадь, на которую распространяется энергия, увеличивается -&gt; частиц рассеивается в воздухе больше -&gt; до детектора долетает меньше.</w:t>
      </w: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965200</wp:posOffset>
            </wp:positionV>
            <wp:extent cx="3002915" cy="2162175"/>
            <wp:effectExtent l="0" t="0" r="32385" b="34925"/>
            <wp:wrapTight wrapText="bothSides">
              <wp:wrapPolygon>
                <wp:start x="0" y="0"/>
                <wp:lineTo x="0" y="21441"/>
                <wp:lineTo x="21468" y="21441"/>
                <wp:lineTo x="21468" y="0"/>
                <wp:lineTo x="0" y="0"/>
              </wp:wrapPolygon>
            </wp:wrapTight>
            <wp:docPr id="19146383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38398" name="Рисунок 1"/>
                    <pic:cNvPicPr>
                      <a:picLocks noChangeAspect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Энергия же никак не меняется с увеличением расстояния. Так как гамма-кванты являются фотонами, которые относятся к электромагнитному излучению, то их энергия никак не зависит от расстояния.  Энергия зависит от частоты излучения. (Е=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*</w:t>
      </w: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</w:rPr>
        <w:t>)</w:t>
      </w: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</w:p>
    <w:p>
      <w:pPr>
        <w:pStyle w:val="3"/>
        <w:rPr>
          <w:rFonts w:ascii="Times New Roman" w:hAnsi="Times New Roman" w:cs="Times New Roman"/>
        </w:rPr>
      </w:pPr>
      <w:bookmarkStart w:id="3" w:name="_Toc153562330"/>
      <w:r>
        <w:rPr>
          <w:rFonts w:ascii="Times New Roman" w:hAnsi="Times New Roman" w:cs="Times New Roman"/>
          <w:b w:val="0"/>
          <w:bCs w:val="0"/>
          <w:sz w:val="32"/>
          <w:szCs w:val="32"/>
        </w:rPr>
        <w:t>§8 Применение гамма-излучения</w:t>
      </w:r>
      <w:bookmarkEnd w:id="3"/>
    </w:p>
    <w:p>
      <w:pPr>
        <w:pStyle w:val="17"/>
        <w:shd w:val="clear" w:color="auto" w:fill="FFFFFF"/>
        <w:spacing w:before="0" w:beforeAutospacing="0" w:after="384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  <w:highlight w:val="none"/>
        </w:rPr>
        <w:t>В лабораторной работе №</w:t>
      </w:r>
      <w:r>
        <w:rPr>
          <w:rFonts w:hint="default" w:eastAsia="DengXian"/>
          <w:sz w:val="28"/>
          <w:szCs w:val="28"/>
          <w:highlight w:val="none"/>
          <w:lang w:val="uz-Latn-UZ"/>
        </w:rPr>
        <w:t>8</w:t>
      </w:r>
      <w:r>
        <w:rPr>
          <w:color w:val="000000"/>
          <w:sz w:val="28"/>
          <w:szCs w:val="28"/>
          <w:highlight w:val="none"/>
        </w:rPr>
        <w:t xml:space="preserve"> было изучено поглощение фотонов в металлах и применение рентгенофлуоресцентного анализа.</w:t>
      </w:r>
      <w:r>
        <w:rPr>
          <w:color w:val="000000"/>
          <w:sz w:val="28"/>
          <w:szCs w:val="28"/>
          <w:highlight w:val="none"/>
          <w:lang w:val="uz-Latn-UZ"/>
        </w:rPr>
        <w:t xml:space="preserve"> </w:t>
      </w:r>
      <w:r>
        <w:rPr>
          <w:color w:val="000000"/>
          <w:sz w:val="28"/>
          <w:szCs w:val="28"/>
          <w:highlight w:val="none"/>
        </w:rPr>
        <w:t>Проникающая способность гамма-излучения уменьшается с увелич</w:t>
      </w:r>
      <w:r>
        <w:rPr>
          <w:color w:val="000000"/>
          <w:sz w:val="28"/>
          <w:szCs w:val="28"/>
        </w:rPr>
        <w:t>ением числа электронов на единицу объема вещества. Поэтому чем тяжелее атомы и плотнее вещество, тем больше поглощение фотонов в нем.</w:t>
      </w: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Линейный коэффициент ослабления интенсивности фотона </w:t>
      </w:r>
      <m:oMath>
        <m:r>
          <m:rPr/>
          <w:rPr>
            <w:rFonts w:ascii="Cambria Math" w:hAnsi="Cambria Math"/>
            <w:color w:val="000000"/>
            <w:sz w:val="28"/>
            <w:szCs w:val="28"/>
          </w:rPr>
          <m:t>μ</m:t>
        </m:r>
      </m:oMath>
      <w:r>
        <w:rPr>
          <w:color w:val="000000"/>
          <w:sz w:val="28"/>
          <w:szCs w:val="28"/>
        </w:rPr>
        <w:t>:</w:t>
      </w: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  <m:oMathPara>
        <m:oMath>
          <m:r>
            <m:rPr/>
            <w:rPr>
              <w:rFonts w:ascii="Cambria Math" w:hAnsi="Cambria Math"/>
              <w:color w:val="000000"/>
              <w:sz w:val="28"/>
              <w:szCs w:val="28"/>
            </w:rPr>
            <m:t>N=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/>
                  <w:color w:val="000000"/>
                  <w:sz w:val="28"/>
                  <w:szCs w:val="28"/>
                </w:rPr>
                <m:t>N</m:t>
              </m: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/>
                  <w:color w:val="000000"/>
                  <w:sz w:val="28"/>
                  <w:szCs w:val="28"/>
                </w:rPr>
                <m:t>0</m:t>
              </m: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pPr>
            <m:e>
              <m:r>
                <m:rPr/>
                <w:rPr>
                  <w:rFonts w:ascii="Cambria Math" w:hAnsi="Cambria Math"/>
                  <w:color w:val="000000"/>
                  <w:sz w:val="28"/>
                  <w:szCs w:val="28"/>
                </w:rPr>
                <m:t>e</m:t>
              </m: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e>
            <m:sup>
              <m:r>
                <m:rPr/>
                <w:rPr>
                  <w:rFonts w:ascii="Cambria Math" w:hAnsi="Cambria Math"/>
                  <w:color w:val="000000"/>
                  <w:sz w:val="28"/>
                  <w:szCs w:val="28"/>
                </w:rPr>
                <m:t>−μx</m:t>
              </m: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up>
          </m:sSup>
        </m:oMath>
      </m:oMathPara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где </w:t>
      </w:r>
      <w:r>
        <w:rPr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 xml:space="preserve"> – количество фотонов, прошедших через пластину,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8"/>
              </w:rPr>
              <m:t>N</m:t>
            </m: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ub>
        </m:sSub>
      </m:oMath>
      <w:r>
        <w:rPr>
          <w:color w:val="000000"/>
          <w:sz w:val="28"/>
          <w:szCs w:val="28"/>
        </w:rPr>
        <w:t xml:space="preserve"> – количество фотонов, регистрируемых детектором без пластины, х – толщина пластины.</w:t>
      </w:r>
    </w:p>
    <w:p>
      <w:pPr>
        <w:pStyle w:val="17"/>
        <w:shd w:val="clear" w:color="auto" w:fill="FFFFFF"/>
        <w:spacing w:before="0" w:beforeAutospacing="0" w:after="384" w:afterAutospacing="0"/>
        <w:ind w:firstLine="280" w:firstLineChars="1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Эксперимент №1. Изучение прохождения гамма-излучения через различные металлы: алюминий, стал, латунь, свинец.</w:t>
      </w:r>
    </w:p>
    <w:p>
      <w:pPr>
        <w:pStyle w:val="17"/>
        <w:shd w:val="clear" w:color="auto" w:fill="FFFFFF"/>
        <w:spacing w:before="0" w:beforeAutospacing="0" w:after="384" w:afterAutospacing="0"/>
        <w:ind w:firstLine="280" w:firstLineChars="1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эксперимента было измерено количество фотонов, регистрируемых детектором от источника без металлических пластин. Далее измерения проводились с металлическими пластинами толщиной 1мм. Пластины из железа и свинца. Измерялось количество фотонов, проходящих сквозь эти пластины.</w:t>
      </w: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339725</wp:posOffset>
            </wp:positionV>
            <wp:extent cx="1857375" cy="561975"/>
            <wp:effectExtent l="0" t="0" r="9525" b="9525"/>
            <wp:wrapTight wrapText="bothSides">
              <wp:wrapPolygon>
                <wp:start x="0" y="0"/>
                <wp:lineTo x="0" y="20990"/>
                <wp:lineTo x="21415" y="20990"/>
                <wp:lineTo x="21415" y="0"/>
                <wp:lineTo x="0" y="0"/>
              </wp:wrapPolygon>
            </wp:wrapTight>
            <wp:docPr id="1816800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00986" name="Рисунок 1"/>
                    <pic:cNvPicPr>
                      <a:picLocks noChangeAspect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Результаты измерений:</w:t>
      </w: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результатам мы можем видеть, что наиболее эффективное поглощение гамма-излучения происходит в пластинке, состоящей из свинца. Так как количество фотонов, проходящих сквозь эту пластину наименьшее.</w:t>
      </w:r>
      <w:r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</w:rPr>
        <w:t>Рассчитаем линейный коэффициент ослабления интенсивности пучка фотонов для железа и свинца, по полученным данным в эксперименте из формулы:</w:t>
      </w: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rFonts w:hAnsi="Cambria Math"/>
          <w:color w:val="000000"/>
          <w:sz w:val="28"/>
          <w:szCs w:val="28"/>
        </w:rPr>
      </w:pPr>
      <m:oMathPara>
        <m:oMath>
          <m:r>
            <m:rPr/>
            <w:rPr>
              <w:rFonts w:ascii="Cambria Math" w:hAnsi="Cambria Math"/>
              <w:color w:val="000000"/>
              <w:sz w:val="28"/>
              <w:szCs w:val="28"/>
            </w:rPr>
            <m:t>N=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/>
                  <w:color w:val="000000"/>
                  <w:sz w:val="28"/>
                  <w:szCs w:val="28"/>
                </w:rPr>
                <m:t>N</m:t>
              </m: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/>
                  <w:color w:val="000000"/>
                  <w:sz w:val="28"/>
                  <w:szCs w:val="28"/>
                </w:rPr>
                <m:t>0</m:t>
              </m: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pPr>
            <m:e>
              <m:r>
                <m:rPr/>
                <w:rPr>
                  <w:rFonts w:ascii="Cambria Math" w:hAnsi="Cambria Math"/>
                  <w:color w:val="000000"/>
                  <w:sz w:val="28"/>
                  <w:szCs w:val="28"/>
                </w:rPr>
                <m:t>e</m:t>
              </m: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e>
            <m:sup>
              <m:r>
                <m:rPr/>
                <w:rPr>
                  <w:rFonts w:ascii="Cambria Math" w:hAnsi="Cambria Math"/>
                  <w:color w:val="000000"/>
                  <w:sz w:val="28"/>
                  <w:szCs w:val="28"/>
                </w:rPr>
                <m:t>−μx</m:t>
              </m: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up>
          </m:sSup>
        </m:oMath>
      </m:oMathPara>
    </w:p>
    <w:p>
      <w:pPr>
        <w:pStyle w:val="17"/>
        <w:shd w:val="clear" w:color="auto" w:fill="FFFFFF"/>
        <w:spacing w:before="0" w:beforeAutospacing="0" w:after="384" w:afterAutospacing="0"/>
        <w:ind w:firstLine="280" w:firstLineChars="1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железа: </w:t>
      </w:r>
      <m:oMath>
        <m:r>
          <m:rPr/>
          <w:rPr>
            <w:rFonts w:ascii="Cambria Math" w:hAnsi="Cambria Math"/>
            <w:color w:val="000000"/>
            <w:sz w:val="28"/>
            <w:szCs w:val="28"/>
          </w:rPr>
          <m:t>μ≈1</m:t>
        </m:r>
      </m:oMath>
    </w:p>
    <w:p>
      <w:pPr>
        <w:pStyle w:val="17"/>
        <w:shd w:val="clear" w:color="auto" w:fill="FFFFFF"/>
        <w:spacing w:before="0" w:beforeAutospacing="0" w:after="384" w:afterAutospacing="0"/>
        <w:ind w:firstLine="280" w:firstLineChars="1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свинца: </w:t>
      </w:r>
      <m:oMath>
        <m:r>
          <m:rPr/>
          <w:rPr>
            <w:rFonts w:ascii="Cambria Math" w:hAnsi="Cambria Math"/>
            <w:color w:val="000000"/>
            <w:sz w:val="28"/>
            <w:szCs w:val="28"/>
          </w:rPr>
          <m:t>μ≈5</m:t>
        </m:r>
      </m:oMath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формулы видно, что чем больше этот коэффициент, тем количество фотонов, прошедших через пластину, меньше.</w:t>
      </w:r>
    </w:p>
    <w:p>
      <w:pPr>
        <w:pStyle w:val="17"/>
        <w:shd w:val="clear" w:color="auto" w:fill="FFFFFF"/>
        <w:spacing w:before="0" w:beforeAutospacing="0" w:after="384" w:afterAutospacing="0"/>
        <w:ind w:firstLine="140" w:firstLineChars="5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Рентгенофлуоресцентный анализ</w:t>
      </w:r>
      <w:r>
        <w:rPr>
          <w:color w:val="000000"/>
          <w:sz w:val="28"/>
          <w:szCs w:val="28"/>
        </w:rPr>
        <w:t xml:space="preserve"> (РФА) — спектроскопический метод исследования вещества. Основан на сборе и последующем анализе спектра вторичного излучения, возникающего при облучении исследуемого материала рентгеновским излучением. При взаимодействии с высокоэнергетичными фотонами атомы вещества переходят в возбуждённое состояние, то есть электроны переходят с нижних на более высокие энергетические уровни, вплоть до ионизации атома. Электроны с внешних оболочек заполняют образовавшиеся вакантные места, испуская при этом фотон. При этом, атом каждого элемента испускает фотон с энергией строго определённого значения, соответствующую разнице уровней. Таким образом РФА позволяет определить тип вещества.</w:t>
      </w:r>
    </w:p>
    <w:p>
      <w:pPr>
        <w:pStyle w:val="17"/>
        <w:shd w:val="clear" w:color="auto" w:fill="FFFFFF"/>
        <w:spacing w:after="3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Эксперимент №2.</w:t>
      </w:r>
    </w:p>
    <w:p>
      <w:pPr>
        <w:pStyle w:val="17"/>
        <w:shd w:val="clear" w:color="auto" w:fill="FFFFFF"/>
        <w:spacing w:after="3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204470</wp:posOffset>
            </wp:positionV>
            <wp:extent cx="2247900" cy="2743835"/>
            <wp:effectExtent l="0" t="0" r="0" b="12065"/>
            <wp:wrapTight wrapText="bothSides">
              <wp:wrapPolygon>
                <wp:start x="0" y="0"/>
                <wp:lineTo x="0" y="21495"/>
                <wp:lineTo x="21478" y="21495"/>
                <wp:lineTo x="21478" y="0"/>
                <wp:lineTo x="0" y="0"/>
              </wp:wrapPolygon>
            </wp:wrapTight>
            <wp:docPr id="1454362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62573" name="Рисунок 1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Пучок фотонов из источника направлен на металлическую пластину и не попадает на сенсор детектора, но на сенсор попадают фотоны образовавшиеся в пластине в результате ее облучения фотонами из источника. </w:t>
      </w:r>
    </w:p>
    <w:p>
      <w:pPr>
        <w:pStyle w:val="17"/>
        <w:shd w:val="clear" w:color="auto" w:fill="FFFFFF"/>
        <w:spacing w:after="3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732790</wp:posOffset>
            </wp:positionV>
            <wp:extent cx="2937510" cy="885825"/>
            <wp:effectExtent l="0" t="0" r="8890" b="3175"/>
            <wp:wrapTight wrapText="bothSides">
              <wp:wrapPolygon>
                <wp:start x="0" y="0"/>
                <wp:lineTo x="0" y="21368"/>
                <wp:lineTo x="21479" y="21368"/>
                <wp:lineTo x="21479" y="0"/>
                <wp:lineTo x="0" y="0"/>
              </wp:wrapPolygon>
            </wp:wrapTight>
            <wp:docPr id="407801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01622" name="Рисунок 1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Был получен следующий набор энергий, по которому можно определить состав пластины: </w:t>
      </w:r>
    </w:p>
    <w:p>
      <w:pPr>
        <w:pStyle w:val="17"/>
        <w:shd w:val="clear" w:color="auto" w:fill="FFFFFF"/>
        <w:spacing w:after="384"/>
        <w:jc w:val="both"/>
        <w:textAlignment w:val="baseline"/>
        <w:rPr>
          <w:color w:val="000000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/>
          <w:sz w:val="28"/>
          <w:szCs w:val="28"/>
        </w:rPr>
      </w:pPr>
    </w:p>
    <w:p>
      <w:pPr>
        <w:ind w:firstLine="708"/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Табличные значения энергий фотонов образовавшихся в результате межуровневых переходов в атоме:</w:t>
      </w: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5940425" cy="1073150"/>
            <wp:effectExtent l="0" t="0" r="3175" b="6350"/>
            <wp:wrapTight wrapText="bothSides">
              <wp:wrapPolygon>
                <wp:start x="0" y="0"/>
                <wp:lineTo x="0" y="21472"/>
                <wp:lineTo x="21565" y="21472"/>
                <wp:lineTo x="21565" y="0"/>
                <wp:lineTo x="0" y="0"/>
              </wp:wrapPolygon>
            </wp:wrapTight>
            <wp:docPr id="2140506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06769" name="Рисунок 1"/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Сопоставив значения, мы видим, что энергия 9,3 кэВ соответствует меди, 12,4 кэВ – свинец, 24,8 кэВ – олово. Из этого можем сделать вывод, что пластинка состоит из сплава трех металлов: олово, свинца и меди.</w:t>
      </w:r>
    </w:p>
    <w:p>
      <w:pPr>
        <w:spacing w:after="160" w:line="259" w:lineRule="auto"/>
        <w:jc w:val="both"/>
        <w:rPr>
          <w:rFonts w:ascii="Times New Roman" w:hAnsi="Times New Roman" w:cs="Times New Roman" w:eastAsiaTheme="minorEastAsia"/>
          <w:sz w:val="24"/>
          <w:szCs w:val="24"/>
        </w:rPr>
      </w:pPr>
      <w:r>
        <w:rPr>
          <w:rFonts w:ascii="Times New Roman" w:hAnsi="Times New Roman" w:cs="Times New Roman" w:eastAsiaTheme="minorEastAsia"/>
          <w:sz w:val="24"/>
          <w:szCs w:val="24"/>
        </w:rPr>
        <w:br w:type="page"/>
      </w:r>
    </w:p>
    <w:p>
      <w:pPr>
        <w:pStyle w:val="3"/>
        <w:rPr>
          <w:rFonts w:ascii="Times New Roman" w:hAnsi="Times New Roman" w:cs="Times New Roman" w:eastAsiaTheme="minorEastAsia"/>
          <w:sz w:val="24"/>
          <w:szCs w:val="24"/>
        </w:rPr>
      </w:pPr>
      <w:bookmarkStart w:id="4" w:name="_Toc153562331"/>
      <w:r>
        <w:rPr>
          <w:rFonts w:ascii="Times New Roman" w:hAnsi="Times New Roman" w:cs="Times New Roman" w:eastAsiaTheme="minorEastAsia"/>
          <w:b w:val="0"/>
          <w:bCs w:val="0"/>
          <w:sz w:val="32"/>
          <w:szCs w:val="32"/>
        </w:rPr>
        <w:t>§9. Естественная радиация</w:t>
      </w:r>
      <w:bookmarkEnd w:id="4"/>
    </w:p>
    <w:p>
      <w:pPr>
        <w:ind w:firstLine="708"/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eastAsia="DengXian"/>
          <w:highlight w:val="none"/>
        </w:rPr>
        <w:t>В лабораторной работе №</w:t>
      </w:r>
      <w:r>
        <w:rPr>
          <w:rFonts w:hint="default" w:ascii="Times New Roman" w:hAnsi="Times New Roman" w:eastAsia="DengXian"/>
          <w:highlight w:val="none"/>
          <w:lang w:val="uz-Latn-UZ"/>
        </w:rPr>
        <w:t>9</w:t>
      </w:r>
      <w:r>
        <w:rPr>
          <w:rFonts w:hint="default" w:ascii="Times New Roman" w:hAnsi="Times New Roman" w:eastAsia="DengXian"/>
          <w:highlight w:val="none"/>
          <w:lang w:val="ru-RU"/>
        </w:rPr>
        <w:t xml:space="preserve"> мы</w:t>
      </w:r>
      <w:r>
        <w:rPr>
          <w:rFonts w:ascii="Times New Roman" w:hAnsi="Times New Roman" w:cs="Times New Roman" w:eastAsiaTheme="minorEastAsia"/>
        </w:rPr>
        <w:t xml:space="preserve"> изуч</w:t>
      </w:r>
      <w:r>
        <w:rPr>
          <w:rFonts w:ascii="Times New Roman" w:hAnsi="Times New Roman" w:cs="Times New Roman" w:eastAsiaTheme="minorEastAsia"/>
          <w:lang w:val="ru-RU"/>
        </w:rPr>
        <w:t>али</w:t>
      </w:r>
      <w:r>
        <w:rPr>
          <w:rFonts w:ascii="Times New Roman" w:hAnsi="Times New Roman" w:cs="Times New Roman" w:eastAsiaTheme="minorEastAsia"/>
        </w:rPr>
        <w:t xml:space="preserve"> естественного фона и из</w:t>
      </w:r>
      <w:r>
        <w:rPr>
          <w:rFonts w:hint="default" w:ascii="Times New Roman" w:hAnsi="Times New Roman" w:cs="Times New Roman" w:eastAsiaTheme="minorEastAsia"/>
          <w:lang w:val="ru-RU"/>
        </w:rPr>
        <w:t>л</w:t>
      </w:r>
      <w:r>
        <w:rPr>
          <w:rFonts w:ascii="Times New Roman" w:hAnsi="Times New Roman" w:cs="Times New Roman" w:eastAsiaTheme="minorEastAsia"/>
        </w:rPr>
        <w:t>учение продуктов распада радона.</w:t>
      </w: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Радиационный фон может быть как природным, так искусственным.</w:t>
      </w: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На природные источники радиации приходится 2,4 МэВ. В них входят космические лучи, радон, калий и др. </w:t>
      </w: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На искусственные источники радиации приходится 1,01 МэВ.</w:t>
      </w:r>
      <w:r>
        <w:rPr>
          <w:rFonts w:ascii="Times New Roman" w:hAnsi="Times New Roman" w:cs="Times New Roman" w:eastAsiaTheme="minorEastAsia"/>
          <w:lang w:val="uz-Latn-UZ"/>
        </w:rPr>
        <w:t xml:space="preserve"> </w:t>
      </w:r>
      <w:r>
        <w:rPr>
          <w:rFonts w:ascii="Times New Roman" w:hAnsi="Times New Roman" w:cs="Times New Roman" w:eastAsiaTheme="minorEastAsia"/>
        </w:rPr>
        <w:t>Основным природным источником радиации является радон (55% от общего числа). На большей части России доля облучения от радона 1,5-2,5 МэВ/год.</w:t>
      </w: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Продукты распада изотопов радона:</w:t>
      </w: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В основном, в процессе радионуклидов возникают три изотопа радона. Больше всего в атмосфере содержится </w:t>
      </w:r>
      <m:oMath>
        <m:sPre>
          <m:sPrePr>
            <m:ctrlPr>
              <w:rPr>
                <w:rFonts w:ascii="Cambria Math" w:hAnsi="Cambria Math" w:cs="Times New Roman" w:eastAsiaTheme="minorEastAsia"/>
                <w:i/>
              </w:rPr>
            </m:ctrlPr>
          </m:sPrePr>
          <m:sub>
            <m:ctrlPr>
              <w:rPr>
                <w:rFonts w:ascii="Cambria Math" w:hAnsi="Cambria Math" w:cs="Times New Roman" w:eastAsiaTheme="minorEastAsia"/>
                <w:i/>
              </w:rPr>
            </m:ctrlPr>
          </m:sub>
          <m:sup>
            <m:r>
              <m:rPr/>
              <w:rPr>
                <w:rFonts w:ascii="Cambria Math" w:hAnsi="Cambria Math" w:cs="Times New Roman" w:eastAsiaTheme="minorEastAsia"/>
              </w:rPr>
              <m:t>222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p>
          <m:e>
            <m:r>
              <m:rPr/>
              <w:rPr>
                <w:rFonts w:ascii="Cambria Math" w:hAnsi="Cambria Math" w:cs="Times New Roman" w:eastAsiaTheme="minorEastAsia"/>
                <w:lang w:val="en-US"/>
              </w:rPr>
              <m:t>Rn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e>
        </m:sPre>
      </m:oMath>
      <w:r>
        <w:rPr>
          <w:rFonts w:ascii="Times New Roman" w:hAnsi="Times New Roman" w:cs="Times New Roman" w:eastAsiaTheme="minorEastAsia"/>
        </w:rPr>
        <w:t xml:space="preserve">, содержание </w:t>
      </w:r>
      <m:oMath>
        <m:sPre>
          <m:sPrePr>
            <m:ctrlPr>
              <w:rPr>
                <w:rFonts w:ascii="Cambria Math" w:hAnsi="Cambria Math" w:cs="Times New Roman" w:eastAsiaTheme="minorEastAsia"/>
                <w:i/>
              </w:rPr>
            </m:ctrlPr>
          </m:sPrePr>
          <m:sub>
            <m:ctrlPr>
              <w:rPr>
                <w:rFonts w:ascii="Cambria Math" w:hAnsi="Cambria Math" w:cs="Times New Roman" w:eastAsiaTheme="minorEastAsia"/>
                <w:i/>
              </w:rPr>
            </m:ctrlPr>
          </m:sub>
          <m:sup>
            <m:r>
              <m:rPr/>
              <w:rPr>
                <w:rFonts w:ascii="Cambria Math" w:hAnsi="Cambria Math" w:cs="Times New Roman" w:eastAsiaTheme="minorEastAsia"/>
              </w:rPr>
              <m:t>220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p>
          <m:e>
            <m:r>
              <m:rPr/>
              <w:rPr>
                <w:rFonts w:ascii="Cambria Math" w:hAnsi="Cambria Math" w:cs="Times New Roman" w:eastAsiaTheme="minorEastAsia"/>
                <w:lang w:val="en-US"/>
              </w:rPr>
              <m:t>Rn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e>
        </m:sPre>
      </m:oMath>
      <w:r>
        <w:rPr>
          <w:rFonts w:ascii="Times New Roman" w:hAnsi="Times New Roman" w:cs="Times New Roman" w:eastAsiaTheme="minorEastAsia"/>
        </w:rPr>
        <w:t xml:space="preserve">(торон) значительно меньше и реже всего встречается </w:t>
      </w:r>
      <m:oMath>
        <m:sPre>
          <m:sPrePr>
            <m:ctrlPr>
              <w:rPr>
                <w:rFonts w:ascii="Cambria Math" w:hAnsi="Cambria Math" w:cs="Times New Roman" w:eastAsiaTheme="minorEastAsia"/>
                <w:i/>
              </w:rPr>
            </m:ctrlPr>
          </m:sPrePr>
          <m:sub>
            <m:ctrlPr>
              <w:rPr>
                <w:rFonts w:ascii="Cambria Math" w:hAnsi="Cambria Math" w:cs="Times New Roman" w:eastAsiaTheme="minorEastAsia"/>
                <w:i/>
              </w:rPr>
            </m:ctrlPr>
          </m:sub>
          <m:sup>
            <m:r>
              <m:rPr/>
              <w:rPr>
                <w:rFonts w:ascii="Cambria Math" w:hAnsi="Cambria Math" w:cs="Times New Roman" w:eastAsiaTheme="minorEastAsia"/>
              </w:rPr>
              <m:t>219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sup>
          <m:e>
            <m:r>
              <m:rPr/>
              <w:rPr>
                <w:rFonts w:ascii="Cambria Math" w:hAnsi="Cambria Math" w:cs="Times New Roman" w:eastAsiaTheme="minorEastAsia"/>
                <w:lang w:val="en-US"/>
              </w:rPr>
              <m:t>Rn</m:t>
            </m:r>
            <m:ctrlPr>
              <w:rPr>
                <w:rFonts w:ascii="Cambria Math" w:hAnsi="Cambria Math" w:cs="Times New Roman" w:eastAsiaTheme="minorEastAsia"/>
                <w:i/>
              </w:rPr>
            </m:ctrlPr>
          </m:e>
        </m:sPre>
      </m:oMath>
      <w:r>
        <w:rPr>
          <w:rFonts w:ascii="Times New Roman" w:hAnsi="Times New Roman" w:cs="Times New Roman" w:eastAsiaTheme="minorEastAsia"/>
        </w:rPr>
        <w:t>(актинон).</w:t>
      </w:r>
    </w:p>
    <w:p>
      <w:pPr>
        <w:jc w:val="both"/>
        <w:rPr>
          <w:rFonts w:ascii="Times New Roman" w:hAnsi="Times New Roman" w:cs="Times New Roman" w:eastAsiaTheme="minorEastAsia"/>
          <w:iCs/>
        </w:rPr>
      </w:pPr>
    </w:p>
    <w:p>
      <w:pPr>
        <w:jc w:val="both"/>
        <w:rPr>
          <w:rFonts w:ascii="Times New Roman" w:hAnsi="Times New Roman" w:cs="Times New Roman" w:eastAsiaTheme="minorEastAsia"/>
          <w:i/>
        </w:rPr>
      </w:pPr>
      <w:r>
        <w:rPr>
          <w:rFonts w:ascii="Times New Roman" w:hAnsi="Times New Roman" w:cs="Times New Roman" w:eastAsiaTheme="minorEastAsia"/>
          <w:i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1196340</wp:posOffset>
                </wp:positionV>
                <wp:extent cx="650875" cy="274955"/>
                <wp:effectExtent l="6350" t="6350" r="15875" b="10795"/>
                <wp:wrapNone/>
                <wp:docPr id="183971045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39" cy="274881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color w:val="000000" w:themeColor="text1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m:ctrlPr>
                                  </m:sPrePr>
                                  <m:sub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color w:val="000000" w:themeColor="text1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m:ctrlPr>
                                  </m:sub>
                                  <m:sup>
                                    <m:r>
                                      <m:rPr/>
                                      <w:rPr>
                                        <w:rFonts w:ascii="Cambria Math" w:hAnsi="Cambria Math" w:cs="Times New Roman" w:eastAsiaTheme="minorEastAsia"/>
                                        <w:color w:val="000000" w:themeColor="text1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m:t>220</m:t>
                                    </m:r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color w:val="000000" w:themeColor="text1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m:ctrlPr>
                                  </m:sup>
                                  <m:e>
                                    <m:r>
                                      <m:rPr/>
                                      <w:rPr>
                                        <w:rFonts w:ascii="Cambria Math" w:hAnsi="Cambria Math" w:cs="Times New Roman" w:eastAsiaTheme="minorEastAsia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m:t>Rn</m:t>
                                    </m:r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color w:val="000000" w:themeColor="text1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m:ctrlPr>
                                  </m:e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o:spt="1" style="position:absolute;left:0pt;margin-left:5pt;margin-top:94.2pt;height:21.65pt;width:51.25pt;z-index:251701248;v-text-anchor:middle;mso-width-relative:page;mso-height-relative:page;" fillcolor="#FFCCFF" filled="t" stroked="t" coordsize="21600,21600" o:gfxdata="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FjR4o3bAAAACgEAAA8AAAAAAAAAAQAgAAAAIgAAAGRy&#10;cy9kb3ducmV2LnhtbFBLAQIUABQAAAAIAIdO4kCBakBArQIAADwFAAAOAAAAAAAAAAEAIAAAACoB&#10;AABkcnMvZTJvRG9jLnhtbFBLBQYAAAAABgAGAFkBAABJBgAAAAA=&#10;">
                <v:fill on="t" focussize="0,0"/>
                <v:stroke weight="1pt" color="#223F59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m:ctrlPr>
                            </m:sPrePr>
                            <m:sub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m:ctrlPr>
                            </m:sub>
                            <m:sup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m:t>220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m:ctrlPr>
                            </m:sup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m:t>Rn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m:ctrlPr>
                            </m:e>
                          </m:sPre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 w:eastAsiaTheme="minorEastAsia"/>
          <w:i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848995</wp:posOffset>
                </wp:positionV>
                <wp:extent cx="650240" cy="274955"/>
                <wp:effectExtent l="6350" t="6350" r="16510" b="10795"/>
                <wp:wrapNone/>
                <wp:docPr id="28448572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4881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color w:val="000000" w:themeColor="text1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m:ctrlPr>
                                  </m:sPrePr>
                                  <m:sub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color w:val="000000" w:themeColor="text1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m:ctrlPr>
                                  </m:sub>
                                  <m:sup>
                                    <m:r>
                                      <m:rPr/>
                                      <w:rPr>
                                        <w:rFonts w:ascii="Cambria Math" w:hAnsi="Cambria Math" w:cs="Times New Roman" w:eastAsiaTheme="minorEastAsia"/>
                                        <w:color w:val="000000" w:themeColor="text1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m:t>222</m:t>
                                    </m:r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color w:val="000000" w:themeColor="text1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m:ctrlPr>
                                  </m:sup>
                                  <m:e>
                                    <m:r>
                                      <m:rPr/>
                                      <w:rPr>
                                        <w:rFonts w:ascii="Cambria Math" w:hAnsi="Cambria Math" w:cs="Times New Roman" w:eastAsiaTheme="minorEastAsia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m:t>Rn</m:t>
                                    </m:r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color w:val="000000" w:themeColor="text1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m:ctrlPr>
                                  </m:e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o:spt="1" style="position:absolute;left:0pt;margin-left:4.05pt;margin-top:66.85pt;height:21.65pt;width:51.2pt;z-index:251702272;v-text-anchor:middle;mso-width-relative:page;mso-height-relative:page;" fillcolor="#FFCCFF" filled="t" stroked="t" coordsize="21600,21600" o:gfxdata="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PqCneraAAAACQEAAA8AAAAAAAAAAQAgAAAAIgAAAGRycy9k&#10;b3ducmV2LnhtbFBLAQIUABQAAAAIAIdO4kChP7OlqwIAADsFAAAOAAAAAAAAAAEAIAAAACkBAABk&#10;cnMvZTJvRG9jLnhtbFBLBQYAAAAABgAGAFkBAABGBgAAAAA=&#10;">
                <v:fill on="t" focussize="0,0"/>
                <v:stroke weight="1pt" color="#223F59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m:ctrlPr>
                            </m:sPrePr>
                            <m:sub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m:ctrlPr>
                            </m:sub>
                            <m:sup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m:t>222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m:ctrlPr>
                            </m:sup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m:t>Rn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m:ctrlPr>
                            </m:e>
                          </m:sPre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 w:eastAsiaTheme="minorEastAsia"/>
          <w:i/>
        </w:rPr>
        <w:drawing>
          <wp:inline distT="0" distB="0" distL="0" distR="0">
            <wp:extent cx="5391150" cy="1485900"/>
            <wp:effectExtent l="0" t="0" r="6350" b="0"/>
            <wp:docPr id="30565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5242" name="Рисунок 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18922" cy="149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 w:eastAsiaTheme="minorEastAsia"/>
          <w:i/>
        </w:rPr>
      </w:pPr>
    </w:p>
    <w:p>
      <w:pPr>
        <w:jc w:val="both"/>
        <w:rPr>
          <w:rFonts w:ascii="Times New Roman" w:hAnsi="Times New Roman" w:cs="Times New Roman" w:eastAsiaTheme="minorEastAsia"/>
          <w:i/>
        </w:rPr>
      </w:pPr>
      <w:r>
        <w:rPr>
          <w:rFonts w:ascii="Times New Roman" w:hAnsi="Times New Roman" w:cs="Times New Roman" w:eastAsiaTheme="minorEastAsia"/>
          <w:i/>
        </w:rPr>
        <w:t>Эксперимент№1.</w:t>
      </w:r>
    </w:p>
    <w:p>
      <w:pPr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t xml:space="preserve">Необходимо установить детектор в вертикальное положение инакрыть сенсор бумажной салфеткой. </w:t>
      </w:r>
    </w:p>
    <w:p>
      <w:pPr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t>Параметры эксперимента:</w:t>
      </w:r>
    </w:p>
    <w:p>
      <w:pPr>
        <w:jc w:val="both"/>
        <w:rPr>
          <w:rFonts w:ascii="Times New Roman" w:hAnsi="Times New Roman" w:cs="Times New Roman" w:eastAsiaTheme="minorEastAsia"/>
          <w:iCs/>
        </w:rPr>
      </w:pPr>
      <w:r>
        <w:rPr>
          <w:rFonts w:ascii="Times New Roman" w:hAnsi="Times New Roman" w:cs="Times New Roman" w:eastAsiaTheme="minorEastAsia"/>
          <w:iCs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65405</wp:posOffset>
            </wp:positionV>
            <wp:extent cx="4582160" cy="902335"/>
            <wp:effectExtent l="0" t="0" r="2540" b="12065"/>
            <wp:wrapTight wrapText="bothSides">
              <wp:wrapPolygon>
                <wp:start x="0" y="0"/>
                <wp:lineTo x="0" y="21281"/>
                <wp:lineTo x="21552" y="21281"/>
                <wp:lineTo x="21552" y="0"/>
                <wp:lineTo x="0" y="0"/>
              </wp:wrapPolygon>
            </wp:wrapTight>
            <wp:docPr id="9408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726" name="Рисунок 1"/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Times New Roman" w:hAnsi="Times New Roman" w:cs="Times New Roman" w:eastAsiaTheme="minorEastAsia"/>
          <w:iCs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Результаты:</w:t>
      </w: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40640</wp:posOffset>
            </wp:positionV>
            <wp:extent cx="3242945" cy="1971675"/>
            <wp:effectExtent l="0" t="0" r="8255" b="9525"/>
            <wp:wrapTight wrapText="bothSides">
              <wp:wrapPolygon>
                <wp:start x="0" y="0"/>
                <wp:lineTo x="0" y="21426"/>
                <wp:lineTo x="21486" y="21426"/>
                <wp:lineTo x="21486" y="0"/>
                <wp:lineTo x="0" y="0"/>
              </wp:wrapPolygon>
            </wp:wrapTight>
            <wp:docPr id="89173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3492" name="Рисунок 1"/>
                    <pic:cNvPicPr>
                      <a:picLocks noChangeAspect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</w:rPr>
        <w:t>По числу частиц и времени мы можем определить активность салфетки.</w:t>
      </w: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  <w:lang w:val="en-US"/>
        </w:rPr>
        <w:t>t</w:t>
      </w:r>
      <w:r>
        <w:rPr>
          <w:rFonts w:ascii="Times New Roman" w:hAnsi="Times New Roman" w:cs="Times New Roman" w:eastAsiaTheme="minorEastAsia"/>
        </w:rPr>
        <w:t xml:space="preserve">=300, </w:t>
      </w:r>
      <w:r>
        <w:rPr>
          <w:rFonts w:ascii="Times New Roman" w:hAnsi="Times New Roman" w:cs="Times New Roman" w:eastAsiaTheme="minorEastAsia"/>
          <w:lang w:val="en-US"/>
        </w:rPr>
        <w:t>N</w:t>
      </w:r>
      <w:r>
        <w:rPr>
          <w:rFonts w:ascii="Times New Roman" w:hAnsi="Times New Roman" w:cs="Times New Roman" w:eastAsiaTheme="minorEastAsia"/>
        </w:rPr>
        <w:t xml:space="preserve">=28 </w:t>
      </w:r>
      <m:oMath>
        <m:r>
          <m:rPr/>
          <w:rPr>
            <w:rFonts w:ascii="Cambria Math" w:hAnsi="Cambria Math" w:cs="Times New Roman" w:eastAsiaTheme="minorEastAsia"/>
            <w:lang w:val="en-US"/>
          </w:rPr>
          <m:t>A</m:t>
        </m:r>
        <m:r>
          <m:rPr/>
          <w:rPr>
            <w:rFonts w:ascii="Cambria Math" w:hAnsi="Cambria Math" w:cs="Times New Roman" w:eastAsiaTheme="minorEastAsia"/>
          </w:rPr>
          <m:t>=</m:t>
        </m:r>
        <m:f>
          <m:fPr>
            <m:ctrlPr>
              <w:rPr>
                <w:rFonts w:ascii="Cambria Math" w:hAnsi="Cambria Math" w:cs="Times New Roman" w:eastAsiaTheme="minorEastAsia"/>
                <w:i/>
                <w:lang w:val="en-US"/>
              </w:rPr>
            </m:ctrlPr>
          </m:fPr>
          <m:num>
            <m:r>
              <m:rPr/>
              <w:rPr>
                <w:rFonts w:ascii="Cambria Math" w:hAnsi="Cambria Math" w:cs="Times New Roman" w:eastAsiaTheme="minorEastAsia"/>
                <w:lang w:val="en-US"/>
              </w:rPr>
              <m:t>N</m:t>
            </m:r>
            <m:ctrlPr>
              <w:rPr>
                <w:rFonts w:ascii="Cambria Math" w:hAnsi="Cambria Math" w:cs="Times New Roman" w:eastAsiaTheme="minorEastAsia"/>
                <w:i/>
                <w:lang w:val="en-US"/>
              </w:rPr>
            </m:ctrlPr>
          </m:num>
          <m:den>
            <m:r>
              <m:rPr/>
              <w:rPr>
                <w:rFonts w:ascii="Cambria Math" w:hAnsi="Cambria Math" w:cs="Times New Roman" w:eastAsiaTheme="minorEastAsia"/>
                <w:lang w:val="en-US"/>
              </w:rPr>
              <m:t>t</m:t>
            </m:r>
            <m:ctrlPr>
              <w:rPr>
                <w:rFonts w:ascii="Cambria Math" w:hAnsi="Cambria Math" w:cs="Times New Roman" w:eastAsiaTheme="minorEastAsia"/>
                <w:i/>
                <w:lang w:val="en-US"/>
              </w:rPr>
            </m:ctrlPr>
          </m:den>
        </m:f>
        <m:r>
          <m:rPr/>
          <w:rPr>
            <w:rFonts w:ascii="Cambria Math" w:hAnsi="Cambria Math" w:cs="Times New Roman" w:eastAsiaTheme="minorEastAsia"/>
          </w:rPr>
          <m:t>≈0,09 Бк</m:t>
        </m:r>
      </m:oMath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  <w:i/>
          <w:iCs/>
        </w:rPr>
      </w:pPr>
      <w:r>
        <w:rPr>
          <w:rFonts w:ascii="Times New Roman" w:hAnsi="Times New Roman" w:cs="Times New Roman" w:eastAsiaTheme="minorEastAsia"/>
          <w:i/>
          <w:iCs/>
        </w:rPr>
        <w:t>Эксперимент №2</w:t>
      </w: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Как было показано в предыдущих работах, альфа-частицы могут преодолевать дистанцию в несколько сантиметров. И для того, чтобы увеличить статистику и качество эксперимента, нам необходимо исследовать большой объем воздуха. Мы можем поместить на всасывающее сопло пылесоса бумажную салфетку, прогнать через нее большое количество находящегося в комнате воздуха. Продукты распада радона осядут на салфетке, и можно будет использовать eе, как радиоактивный источник.</w:t>
      </w: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19685</wp:posOffset>
            </wp:positionV>
            <wp:extent cx="2124075" cy="2791460"/>
            <wp:effectExtent l="0" t="0" r="9525" b="2540"/>
            <wp:wrapTight wrapText="bothSides">
              <wp:wrapPolygon>
                <wp:start x="0" y="0"/>
                <wp:lineTo x="0" y="21521"/>
                <wp:lineTo x="21439" y="21521"/>
                <wp:lineTo x="21439" y="0"/>
                <wp:lineTo x="0" y="0"/>
              </wp:wrapPolygon>
            </wp:wrapTight>
            <wp:docPr id="1464146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46854" name="Рисунок 1"/>
                    <pic:cNvPicPr>
                      <a:picLocks noChangeAspect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</w:rPr>
        <w:t xml:space="preserve">Измерения проводятся сначала в непроветриваемом помещение, затем в </w:t>
      </w: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проветриваемом с параметрами с предыдущего эксперимента, кроме:</w:t>
      </w:r>
    </w:p>
    <w:p>
      <w:pPr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158750</wp:posOffset>
            </wp:positionV>
            <wp:extent cx="2772410" cy="962025"/>
            <wp:effectExtent l="0" t="0" r="8890" b="3175"/>
            <wp:wrapTight wrapText="bothSides">
              <wp:wrapPolygon>
                <wp:start x="0" y="0"/>
                <wp:lineTo x="0" y="21386"/>
                <wp:lineTo x="21471" y="21386"/>
                <wp:lineTo x="21471" y="0"/>
                <wp:lineTo x="0" y="0"/>
              </wp:wrapPolygon>
            </wp:wrapTight>
            <wp:docPr id="156893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3500" name="Рисунок 1"/>
                    <pic:cNvPicPr>
                      <a:picLocks noChangeAspect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tabs>
          <w:tab w:val="left" w:pos="3047"/>
        </w:tabs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Время работы пылесоса – 10 минут.</w:t>
      </w: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jc w:val="both"/>
        <w:rPr>
          <w:rFonts w:ascii="Times New Roman" w:hAnsi="Times New Roman" w:cs="Times New Roman" w:eastAsiaTheme="minorEastAsia"/>
        </w:rPr>
      </w:pPr>
    </w:p>
    <w:p>
      <w:pPr>
        <w:tabs>
          <w:tab w:val="left" w:pos="3851"/>
        </w:tabs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Результаты: </w:t>
      </w:r>
    </w:p>
    <w:p>
      <w:pPr>
        <w:tabs>
          <w:tab w:val="left" w:pos="3851"/>
        </w:tabs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В непроветриваемом помещение: </w:t>
      </w:r>
    </w:p>
    <w:p>
      <w:pPr>
        <w:tabs>
          <w:tab w:val="left" w:pos="3851"/>
        </w:tabs>
        <w:jc w:val="both"/>
        <w:rPr>
          <w:rFonts w:ascii="Times New Roman" w:hAnsi="Times New Roman" w:cs="Times New Roman" w:eastAsiaTheme="minorEastAsia"/>
        </w:rPr>
      </w:pPr>
    </w:p>
    <w:p>
      <w:pPr>
        <w:tabs>
          <w:tab w:val="left" w:pos="3851"/>
        </w:tabs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250190</wp:posOffset>
            </wp:positionV>
            <wp:extent cx="2457450" cy="1543050"/>
            <wp:effectExtent l="0" t="0" r="6350" b="6350"/>
            <wp:wrapTight wrapText="bothSides">
              <wp:wrapPolygon>
                <wp:start x="0" y="0"/>
                <wp:lineTo x="0" y="21511"/>
                <wp:lineTo x="21544" y="21511"/>
                <wp:lineTo x="21544" y="0"/>
                <wp:lineTo x="0" y="0"/>
              </wp:wrapPolygon>
            </wp:wrapTight>
            <wp:docPr id="14897665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66543" name="Рисунок 1"/>
                    <pic:cNvPicPr>
                      <a:picLocks noChangeAspect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88900</wp:posOffset>
            </wp:positionV>
            <wp:extent cx="3609975" cy="1695450"/>
            <wp:effectExtent l="0" t="0" r="9525" b="6350"/>
            <wp:wrapTight wrapText="bothSides">
              <wp:wrapPolygon>
                <wp:start x="0" y="0"/>
                <wp:lineTo x="0" y="21519"/>
                <wp:lineTo x="21505" y="21519"/>
                <wp:lineTo x="21505" y="0"/>
                <wp:lineTo x="0" y="0"/>
              </wp:wrapPolygon>
            </wp:wrapTight>
            <wp:docPr id="882059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59391" name="Рисунок 1"/>
                    <pic:cNvPicPr>
                      <a:picLocks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</w:rPr>
        <w:tab/>
      </w:r>
    </w:p>
    <w:p>
      <w:pPr>
        <w:spacing w:after="160" w:line="259" w:lineRule="auto"/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470535</wp:posOffset>
            </wp:positionV>
            <wp:extent cx="3233420" cy="1572895"/>
            <wp:effectExtent l="0" t="0" r="5080" b="1905"/>
            <wp:wrapTight wrapText="bothSides">
              <wp:wrapPolygon>
                <wp:start x="0" y="0"/>
                <wp:lineTo x="0" y="21452"/>
                <wp:lineTo x="21549" y="21452"/>
                <wp:lineTo x="21549" y="0"/>
                <wp:lineTo x="0" y="0"/>
              </wp:wrapPolygon>
            </wp:wrapTight>
            <wp:docPr id="1230213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13933" name="Рисунок 1"/>
                    <pic:cNvPicPr>
                      <a:picLocks noChangeAspect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385445</wp:posOffset>
            </wp:positionV>
            <wp:extent cx="2829560" cy="1724025"/>
            <wp:effectExtent l="0" t="0" r="2540" b="3175"/>
            <wp:wrapTight wrapText="bothSides">
              <wp:wrapPolygon>
                <wp:start x="0" y="0"/>
                <wp:lineTo x="0" y="21481"/>
                <wp:lineTo x="21522" y="21481"/>
                <wp:lineTo x="21522" y="0"/>
                <wp:lineTo x="0" y="0"/>
              </wp:wrapPolygon>
            </wp:wrapTight>
            <wp:docPr id="4346148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14835" name="Рисунок 1"/>
                    <pic:cNvPicPr>
                      <a:picLocks noChangeAspect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</w:rPr>
        <w:t>В проветриваемом помещении:</w:t>
      </w:r>
    </w:p>
    <w:p>
      <w:pPr>
        <w:spacing w:after="160" w:line="259" w:lineRule="auto"/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  </w:t>
      </w:r>
    </w:p>
    <w:p>
      <w:pPr>
        <w:spacing w:after="160" w:line="259" w:lineRule="auto"/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По данным мы можем сделать вывод, что:</w:t>
      </w:r>
    </w:p>
    <w:p>
      <w:pPr>
        <w:pStyle w:val="15"/>
        <w:numPr>
          <w:ilvl w:val="0"/>
          <w:numId w:val="6"/>
        </w:numPr>
        <w:jc w:val="both"/>
        <w:rPr>
          <w:rFonts w:ascii="Times New Roman" w:hAnsi="Times New Roman" w:cs="Times New Roman" w:eastAsiaTheme="minorEastAsia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en-US"/>
        </w:rPr>
        <w:t xml:space="preserve">У нас зарегистрированы </w:t>
      </w:r>
      <m:oMath>
        <m:sPre>
          <m:sPrePr>
            <m:ctrlPr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</m:ctrlPr>
          </m:sPrePr>
          <m:sub>
            <m:ctrlPr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</m:ctrlPr>
          </m:sub>
          <m:sup>
            <m:r>
              <m:rPr>
                <m:sty m:val="p"/>
              </m:rPr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  <m:t>222</m:t>
            </m:r>
            <m:ctrlPr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</m:ctrlPr>
          </m:sup>
          <m:e>
            <m:r>
              <m:rPr/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  <m:t>Rn</m:t>
            </m:r>
            <m:ctrlPr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</m:ctrlPr>
          </m:e>
        </m:sPre>
      </m:oMath>
      <w:r>
        <w:rPr>
          <w:rFonts w:ascii="Times New Roman" w:hAnsi="Times New Roman" w:cs="Times New Roman" w:eastAsiaTheme="minorEastAsia"/>
          <w:sz w:val="28"/>
          <w:szCs w:val="28"/>
          <w:lang w:eastAsia="en-US"/>
        </w:rPr>
        <w:t xml:space="preserve"> и </w:t>
      </w:r>
      <m:oMath>
        <m:sPre>
          <m:sPrePr>
            <m:ctrlPr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</m:ctrlPr>
          </m:sPrePr>
          <m:sub>
            <m:ctrlPr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</m:ctrlPr>
          </m:sub>
          <m:sup>
            <m:r>
              <m:rPr>
                <m:sty m:val="p"/>
              </m:rPr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  <m:t>220</m:t>
            </m:r>
            <m:ctrlPr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</m:ctrlPr>
          </m:sup>
          <m:e>
            <m:r>
              <m:rPr/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  <m:t>Rn</m:t>
            </m:r>
            <m:ctrlPr>
              <w:rPr>
                <w:rFonts w:ascii="Cambria Math" w:hAnsi="Cambria Math" w:cs="Times New Roman" w:eastAsiaTheme="minorEastAsia"/>
                <w:sz w:val="28"/>
                <w:szCs w:val="28"/>
                <w:lang w:eastAsia="en-US"/>
              </w:rPr>
            </m:ctrlPr>
          </m:e>
        </m:sPre>
      </m:oMath>
      <w:r>
        <w:rPr>
          <w:rFonts w:ascii="Times New Roman" w:hAnsi="Times New Roman" w:cs="Times New Roman" w:eastAsiaTheme="minorEastAsia"/>
          <w:sz w:val="28"/>
          <w:szCs w:val="28"/>
          <w:lang w:eastAsia="en-US"/>
        </w:rPr>
        <w:t xml:space="preserve"> с небольшим отличием энергии от табличного. Связано это с тем, что табличное значение это средняя величина, полученная путем многократных измерений и опытов. В эксперимент же могут быть систематические и случайные ошибки (например, ошибки измерительного прибора, методики эксперимента, воздействие окружающей среды или возможность возникновения других процессов и т.д.), что и вызывает разность с табличным значение.</w:t>
      </w:r>
    </w:p>
    <w:p>
      <w:pPr>
        <w:pStyle w:val="15"/>
        <w:numPr>
          <w:ilvl w:val="0"/>
          <w:numId w:val="6"/>
        </w:numPr>
        <w:jc w:val="both"/>
        <w:rPr>
          <w:rFonts w:ascii="Times New Roman" w:hAnsi="Times New Roman" w:cs="Times New Roman" w:eastAsiaTheme="minorEastAsia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en-US"/>
        </w:rPr>
        <w:t>Рассчитав активность салфетки в двух состояниях помещения, получим, что активность салфетки в непроветриваемом помещение: ~0.98 Бк, а активность салфетки в проветриваемом помещение: ~0.6 Бк.</w:t>
      </w:r>
    </w:p>
    <w:p>
      <w:pPr>
        <w:pStyle w:val="15"/>
        <w:ind w:left="643"/>
        <w:jc w:val="both"/>
        <w:rPr>
          <w:rFonts w:ascii="Times New Roman" w:hAnsi="Times New Roman" w:cs="Times New Roman" w:eastAsiaTheme="minorEastAsia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en-US"/>
        </w:rPr>
        <w:t>Активность салфетки в непроветриваемом помещение больше, чем в проветриваемом помещение.</w:t>
      </w: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eastAsia="en-US"/>
        </w:rPr>
        <w:t>Так как в проветриваемом помещение постоянно циркулирует воздух, что не дает накапливаться радиоактивным частицам, то уменьшается их концентрация (частицы оседают на полу и мебели). Поэтому в непроветриваемом помещение мы получили б</w:t>
      </w:r>
      <w:r>
        <w:rPr>
          <w:rFonts w:eastAsiaTheme="minorEastAsia"/>
          <w:sz w:val="28"/>
          <w:szCs w:val="28"/>
          <w:lang w:val="uz-Latn-UZ" w:eastAsia="en-US"/>
        </w:rPr>
        <w:t>o</w:t>
      </w:r>
      <w:r>
        <w:rPr>
          <w:rFonts w:eastAsiaTheme="minorEastAsia"/>
          <w:sz w:val="28"/>
          <w:szCs w:val="28"/>
          <w:lang w:eastAsia="en-US"/>
        </w:rPr>
        <w:t>льшую активность</w:t>
      </w:r>
      <w:r>
        <w:rPr>
          <w:rFonts w:eastAsiaTheme="minorEastAsia"/>
          <w:sz w:val="28"/>
          <w:szCs w:val="28"/>
        </w:rPr>
        <w:t>.</w:t>
      </w: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rFonts w:eastAsiaTheme="minorEastAsia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rFonts w:eastAsiaTheme="minorEastAsia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rFonts w:eastAsiaTheme="minorEastAsia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rFonts w:eastAsiaTheme="minorEastAsia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rFonts w:eastAsiaTheme="minorEastAsia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rFonts w:eastAsiaTheme="minorEastAsia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rFonts w:eastAsiaTheme="minorEastAsia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rFonts w:eastAsiaTheme="minorEastAsia"/>
          <w:sz w:val="28"/>
          <w:szCs w:val="28"/>
        </w:rPr>
      </w:pP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rFonts w:eastAsiaTheme="minorEastAsia"/>
          <w:sz w:val="28"/>
          <w:szCs w:val="28"/>
        </w:rPr>
      </w:pPr>
    </w:p>
    <w:p>
      <w:pPr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br w:type="page"/>
      </w:r>
    </w:p>
    <w:p>
      <w:pPr>
        <w:pStyle w:val="3"/>
        <w:rPr>
          <w:rFonts w:ascii="Times New Roman" w:hAnsi="Times New Roman" w:cs="Times New Roman" w:eastAsiaTheme="minorEastAsia"/>
          <w:b w:val="0"/>
          <w:bCs w:val="0"/>
          <w:sz w:val="28"/>
          <w:szCs w:val="28"/>
        </w:rPr>
      </w:pPr>
      <w:bookmarkStart w:id="5" w:name="_Toc153562332"/>
      <w:r>
        <w:rPr>
          <w:rFonts w:ascii="Times New Roman" w:hAnsi="Times New Roman" w:cs="Times New Roman" w:eastAsiaTheme="minorEastAsia"/>
          <w:b w:val="0"/>
          <w:bCs w:val="0"/>
          <w:sz w:val="28"/>
          <w:szCs w:val="28"/>
        </w:rPr>
        <w:t>Заключение</w:t>
      </w:r>
      <w:bookmarkEnd w:id="5"/>
    </w:p>
    <w:p>
      <w:pPr>
        <w:tabs>
          <w:tab w:val="left" w:pos="2997"/>
        </w:tabs>
        <w:rPr>
          <w:rFonts w:ascii="Times New Roman" w:hAnsi="Times New Roman" w:cs="Times New Roman" w:eastAsiaTheme="minorEastAsia"/>
        </w:rPr>
      </w:pPr>
    </w:p>
    <w:p>
      <w:pPr>
        <w:spacing w:after="160" w:line="259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Был получен полезный опыт и ценные навыки по работе с пиксельным детектором </w:t>
      </w:r>
      <w:r>
        <w:rPr>
          <w:rFonts w:ascii="Times New Roman" w:hAnsi="Times New Roman" w:cs="Times New Roman" w:eastAsiaTheme="minorEastAsia"/>
          <w:lang w:val="en-US"/>
        </w:rPr>
        <w:t>Medipix</w:t>
      </w:r>
      <w:r>
        <w:rPr>
          <w:rFonts w:ascii="Times New Roman" w:hAnsi="Times New Roman" w:cs="Times New Roman" w:eastAsiaTheme="minorEastAsia"/>
        </w:rPr>
        <w:t xml:space="preserve"> </w:t>
      </w:r>
      <w:r>
        <w:rPr>
          <w:rFonts w:ascii="Times New Roman" w:hAnsi="Times New Roman" w:cs="Times New Roman" w:eastAsiaTheme="minorEastAsia"/>
          <w:lang w:val="en-US"/>
        </w:rPr>
        <w:t>MX</w:t>
      </w:r>
      <w:r>
        <w:rPr>
          <w:rFonts w:ascii="Times New Roman" w:hAnsi="Times New Roman" w:cs="Times New Roman" w:eastAsiaTheme="minorEastAsia"/>
        </w:rPr>
        <w:t xml:space="preserve">-10 и по программе, по управлению и настройке детектора, – </w:t>
      </w:r>
      <w:r>
        <w:rPr>
          <w:rFonts w:ascii="Times New Roman" w:hAnsi="Times New Roman" w:cs="Times New Roman" w:eastAsiaTheme="minorEastAsia"/>
          <w:lang w:val="en-US"/>
        </w:rPr>
        <w:t>Pixelman</w:t>
      </w:r>
      <w:r>
        <w:rPr>
          <w:rFonts w:ascii="Times New Roman" w:hAnsi="Times New Roman" w:cs="Times New Roman" w:eastAsiaTheme="minorEastAsia"/>
        </w:rPr>
        <w:t xml:space="preserve">.  Мы научились работать с данными, полученными с помощью программы </w:t>
      </w:r>
      <w:r>
        <w:rPr>
          <w:rFonts w:ascii="Times New Roman" w:hAnsi="Times New Roman" w:cs="Times New Roman" w:eastAsiaTheme="minorEastAsia"/>
          <w:lang w:val="en-US"/>
        </w:rPr>
        <w:t>Pixelman</w:t>
      </w:r>
      <w:r>
        <w:rPr>
          <w:rFonts w:ascii="Times New Roman" w:hAnsi="Times New Roman" w:cs="Times New Roman" w:eastAsiaTheme="minorEastAsia"/>
        </w:rPr>
        <w:t xml:space="preserve">. </w:t>
      </w:r>
    </w:p>
    <w:p>
      <w:pPr>
        <w:spacing w:after="160" w:line="259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У нас была возможность изучить некоторые радиоактивные источники, и теперь мы имеем, хоть и малое, но какое-то представление о поведении частиц в веществе. </w:t>
      </w:r>
    </w:p>
    <w:p>
      <w:pPr>
        <w:spacing w:after="160" w:line="259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Благодаря проекту и данной работе, в результате получили больше знаний и понимания в области физики.</w:t>
      </w:r>
    </w:p>
    <w:p>
      <w:pPr>
        <w:spacing w:after="160" w:line="259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Меня интересовала тема с детекторами, но не было возможности поработать с конкретным примером. Дополняющей проблемой было то, что если было непонимание в како-то теме, то не находилось людей, которые бы смогли ее объяснить Данный проект дал обе возможности. </w:t>
      </w:r>
    </w:p>
    <w:p>
      <w:pPr>
        <w:pStyle w:val="17"/>
        <w:shd w:val="clear" w:color="auto" w:fill="FFFFFF"/>
        <w:spacing w:before="0" w:beforeAutospacing="0" w:after="384" w:afterAutospacing="0"/>
        <w:jc w:val="both"/>
        <w:textAlignment w:val="baseline"/>
        <w:rPr>
          <w:sz w:val="28"/>
          <w:szCs w:val="28"/>
        </w:rPr>
      </w:pPr>
    </w:p>
    <w:sectPr>
      <w:footerReference r:id="rId3" w:type="default"/>
      <w:pgSz w:w="11906" w:h="16838"/>
      <w:pgMar w:top="1134" w:right="850" w:bottom="1134" w:left="1701" w:header="708" w:footer="708" w:gutter="0"/>
      <w:cols w:space="708" w:num="1"/>
      <w:titlePg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">
    <w:altName w:val="SimSun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29543573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7E10A8"/>
    <w:multiLevelType w:val="multilevel"/>
    <w:tmpl w:val="2C7E10A8"/>
    <w:lvl w:ilvl="0" w:tentative="0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63" w:hanging="360"/>
      </w:pPr>
    </w:lvl>
    <w:lvl w:ilvl="2" w:tentative="0">
      <w:start w:val="1"/>
      <w:numFmt w:val="lowerRoman"/>
      <w:lvlText w:val="%3."/>
      <w:lvlJc w:val="right"/>
      <w:pPr>
        <w:ind w:left="2083" w:hanging="180"/>
      </w:pPr>
    </w:lvl>
    <w:lvl w:ilvl="3" w:tentative="0">
      <w:start w:val="1"/>
      <w:numFmt w:val="decimal"/>
      <w:lvlText w:val="%4."/>
      <w:lvlJc w:val="left"/>
      <w:pPr>
        <w:ind w:left="2803" w:hanging="360"/>
      </w:pPr>
    </w:lvl>
    <w:lvl w:ilvl="4" w:tentative="0">
      <w:start w:val="1"/>
      <w:numFmt w:val="lowerLetter"/>
      <w:lvlText w:val="%5."/>
      <w:lvlJc w:val="left"/>
      <w:pPr>
        <w:ind w:left="3523" w:hanging="360"/>
      </w:pPr>
    </w:lvl>
    <w:lvl w:ilvl="5" w:tentative="0">
      <w:start w:val="1"/>
      <w:numFmt w:val="lowerRoman"/>
      <w:lvlText w:val="%6."/>
      <w:lvlJc w:val="right"/>
      <w:pPr>
        <w:ind w:left="4243" w:hanging="180"/>
      </w:pPr>
    </w:lvl>
    <w:lvl w:ilvl="6" w:tentative="0">
      <w:start w:val="1"/>
      <w:numFmt w:val="decimal"/>
      <w:lvlText w:val="%7."/>
      <w:lvlJc w:val="left"/>
      <w:pPr>
        <w:ind w:left="4963" w:hanging="360"/>
      </w:pPr>
    </w:lvl>
    <w:lvl w:ilvl="7" w:tentative="0">
      <w:start w:val="1"/>
      <w:numFmt w:val="lowerLetter"/>
      <w:lvlText w:val="%8."/>
      <w:lvlJc w:val="left"/>
      <w:pPr>
        <w:ind w:left="5683" w:hanging="360"/>
      </w:pPr>
    </w:lvl>
    <w:lvl w:ilvl="8" w:tentative="0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4ACB1980"/>
    <w:multiLevelType w:val="multilevel"/>
    <w:tmpl w:val="4ACB198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2">
    <w:nsid w:val="4AFF6695"/>
    <w:multiLevelType w:val="multilevel"/>
    <w:tmpl w:val="4AFF6695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4D2002F1"/>
    <w:multiLevelType w:val="multilevel"/>
    <w:tmpl w:val="4D2002F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72497"/>
    <w:multiLevelType w:val="multilevel"/>
    <w:tmpl w:val="5427249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5">
    <w:nsid w:val="60C53FB8"/>
    <w:multiLevelType w:val="multilevel"/>
    <w:tmpl w:val="60C53FB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E0"/>
    <w:rsid w:val="000300D8"/>
    <w:rsid w:val="00045562"/>
    <w:rsid w:val="00076A65"/>
    <w:rsid w:val="000814E0"/>
    <w:rsid w:val="000C0BFF"/>
    <w:rsid w:val="00140E5C"/>
    <w:rsid w:val="001810E5"/>
    <w:rsid w:val="00185696"/>
    <w:rsid w:val="001960B5"/>
    <w:rsid w:val="001B512B"/>
    <w:rsid w:val="001C385A"/>
    <w:rsid w:val="001F2583"/>
    <w:rsid w:val="002222E3"/>
    <w:rsid w:val="00276B95"/>
    <w:rsid w:val="0028349D"/>
    <w:rsid w:val="002A78AB"/>
    <w:rsid w:val="002B50E4"/>
    <w:rsid w:val="003228FE"/>
    <w:rsid w:val="00360FF4"/>
    <w:rsid w:val="00372A88"/>
    <w:rsid w:val="003E30F0"/>
    <w:rsid w:val="00403446"/>
    <w:rsid w:val="00406707"/>
    <w:rsid w:val="004218D3"/>
    <w:rsid w:val="004226FE"/>
    <w:rsid w:val="004375D2"/>
    <w:rsid w:val="00443787"/>
    <w:rsid w:val="00450C96"/>
    <w:rsid w:val="004803C3"/>
    <w:rsid w:val="004B16CD"/>
    <w:rsid w:val="0050094F"/>
    <w:rsid w:val="00501967"/>
    <w:rsid w:val="00505971"/>
    <w:rsid w:val="0051578C"/>
    <w:rsid w:val="00520E20"/>
    <w:rsid w:val="00550B63"/>
    <w:rsid w:val="00551E71"/>
    <w:rsid w:val="00554F75"/>
    <w:rsid w:val="0056262D"/>
    <w:rsid w:val="005C526E"/>
    <w:rsid w:val="005F6212"/>
    <w:rsid w:val="0060240A"/>
    <w:rsid w:val="006460D0"/>
    <w:rsid w:val="006707D8"/>
    <w:rsid w:val="00671DFA"/>
    <w:rsid w:val="006B28EE"/>
    <w:rsid w:val="006B7542"/>
    <w:rsid w:val="006C327F"/>
    <w:rsid w:val="00706947"/>
    <w:rsid w:val="00711C1F"/>
    <w:rsid w:val="00712CC0"/>
    <w:rsid w:val="007411F6"/>
    <w:rsid w:val="0074247F"/>
    <w:rsid w:val="007435A6"/>
    <w:rsid w:val="00756CC8"/>
    <w:rsid w:val="0075732C"/>
    <w:rsid w:val="00757992"/>
    <w:rsid w:val="007654FE"/>
    <w:rsid w:val="00775312"/>
    <w:rsid w:val="007D333B"/>
    <w:rsid w:val="007F562B"/>
    <w:rsid w:val="008232EE"/>
    <w:rsid w:val="00843380"/>
    <w:rsid w:val="00857749"/>
    <w:rsid w:val="00884DF4"/>
    <w:rsid w:val="008A2E26"/>
    <w:rsid w:val="008A33CD"/>
    <w:rsid w:val="008A58BE"/>
    <w:rsid w:val="008A5F6E"/>
    <w:rsid w:val="008E7313"/>
    <w:rsid w:val="00915840"/>
    <w:rsid w:val="00923105"/>
    <w:rsid w:val="00953A2B"/>
    <w:rsid w:val="00954DEC"/>
    <w:rsid w:val="00970C19"/>
    <w:rsid w:val="009B4C7C"/>
    <w:rsid w:val="009C0464"/>
    <w:rsid w:val="009C1C90"/>
    <w:rsid w:val="009E3930"/>
    <w:rsid w:val="00A03FBF"/>
    <w:rsid w:val="00A0493F"/>
    <w:rsid w:val="00A224A3"/>
    <w:rsid w:val="00A6108E"/>
    <w:rsid w:val="00A7637F"/>
    <w:rsid w:val="00AB6EF4"/>
    <w:rsid w:val="00AB6FA0"/>
    <w:rsid w:val="00AB7E6E"/>
    <w:rsid w:val="00AC17FF"/>
    <w:rsid w:val="00B073F5"/>
    <w:rsid w:val="00B369FA"/>
    <w:rsid w:val="00B632B4"/>
    <w:rsid w:val="00B858B8"/>
    <w:rsid w:val="00B86910"/>
    <w:rsid w:val="00BB5FC7"/>
    <w:rsid w:val="00BC042F"/>
    <w:rsid w:val="00BD53F6"/>
    <w:rsid w:val="00BE6FB3"/>
    <w:rsid w:val="00C1790F"/>
    <w:rsid w:val="00C25B60"/>
    <w:rsid w:val="00C3016B"/>
    <w:rsid w:val="00C72B76"/>
    <w:rsid w:val="00C82C82"/>
    <w:rsid w:val="00CD77CD"/>
    <w:rsid w:val="00D20353"/>
    <w:rsid w:val="00D40567"/>
    <w:rsid w:val="00D42A71"/>
    <w:rsid w:val="00D54A37"/>
    <w:rsid w:val="00D7605A"/>
    <w:rsid w:val="00DD3097"/>
    <w:rsid w:val="00DD4BD4"/>
    <w:rsid w:val="00E62302"/>
    <w:rsid w:val="00E73D32"/>
    <w:rsid w:val="00E778AE"/>
    <w:rsid w:val="00E87195"/>
    <w:rsid w:val="00E9058B"/>
    <w:rsid w:val="00EB2F5C"/>
    <w:rsid w:val="00EB6D22"/>
    <w:rsid w:val="00EB6FAE"/>
    <w:rsid w:val="00EC2F43"/>
    <w:rsid w:val="00EE0D32"/>
    <w:rsid w:val="00F332E1"/>
    <w:rsid w:val="00F92388"/>
    <w:rsid w:val="00FA1C12"/>
    <w:rsid w:val="00FC0E69"/>
    <w:rsid w:val="00FC6F0F"/>
    <w:rsid w:val="00FC6F1F"/>
    <w:rsid w:val="00FE0847"/>
    <w:rsid w:val="00FE7785"/>
    <w:rsid w:val="0F7166A5"/>
    <w:rsid w:val="16754297"/>
    <w:rsid w:val="1CCE07EE"/>
    <w:rsid w:val="202463F9"/>
    <w:rsid w:val="33B8784C"/>
    <w:rsid w:val="592F0D8D"/>
    <w:rsid w:val="5A1F7DC7"/>
    <w:rsid w:val="66D7395F"/>
    <w:rsid w:val="78FC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8"/>
      <w:szCs w:val="28"/>
      <w:lang w:val="ru-RU" w:eastAsia="en-US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240" w:line="256" w:lineRule="auto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  <w:lang w:eastAsia="ru-RU"/>
    </w:rPr>
  </w:style>
  <w:style w:type="paragraph" w:styleId="3">
    <w:name w:val="heading 3"/>
    <w:basedOn w:val="1"/>
    <w:next w:val="1"/>
    <w:link w:val="14"/>
    <w:qFormat/>
    <w:uiPriority w:val="0"/>
    <w:pPr>
      <w:keepNext/>
      <w:spacing w:before="240" w:after="60"/>
      <w:outlineLvl w:val="2"/>
    </w:pPr>
    <w:rPr>
      <w:rFonts w:ascii="Arial" w:hAnsi="Arial" w:eastAsia="Times New Roman" w:cs="Arial"/>
      <w:b/>
      <w:bCs/>
      <w:sz w:val="26"/>
      <w:szCs w:val="26"/>
      <w:lang w:eastAsia="ru-RU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pPr>
      <w:spacing w:after="200"/>
    </w:pPr>
    <w:rPr>
      <w:rFonts w:ascii="Calibri" w:hAnsi="Calibri" w:eastAsia="Calibri" w:cs="Times New Roman"/>
      <w:i/>
      <w:iCs/>
      <w:color w:val="44546A" w:themeColor="text2"/>
      <w:sz w:val="18"/>
      <w:szCs w:val="18"/>
      <w:lang w:eastAsia="ru-RU"/>
      <w14:textFill>
        <w14:solidFill>
          <w14:schemeClr w14:val="tx2"/>
        </w14:solidFill>
      </w14:textFill>
    </w:rPr>
  </w:style>
  <w:style w:type="paragraph" w:styleId="7">
    <w:name w:val="footer"/>
    <w:basedOn w:val="1"/>
    <w:link w:val="12"/>
    <w:unhideWhenUsed/>
    <w:qFormat/>
    <w:uiPriority w:val="99"/>
    <w:pPr>
      <w:tabs>
        <w:tab w:val="center" w:pos="4677"/>
        <w:tab w:val="right" w:pos="9355"/>
      </w:tabs>
    </w:pPr>
  </w:style>
  <w:style w:type="paragraph" w:styleId="8">
    <w:name w:val="header"/>
    <w:basedOn w:val="1"/>
    <w:link w:val="11"/>
    <w:unhideWhenUsed/>
    <w:qFormat/>
    <w:uiPriority w:val="99"/>
    <w:pPr>
      <w:tabs>
        <w:tab w:val="center" w:pos="4677"/>
        <w:tab w:val="right" w:pos="9355"/>
      </w:tabs>
    </w:pPr>
  </w:style>
  <w:style w:type="character" w:styleId="9">
    <w:name w:val="Hyperlink"/>
    <w:basedOn w:val="4"/>
    <w:unhideWhenUsed/>
    <w:qFormat/>
    <w:uiPriority w:val="99"/>
    <w:rPr>
      <w:color w:val="0000FF"/>
      <w:u w:val="single"/>
    </w:rPr>
  </w:style>
  <w:style w:type="paragraph" w:styleId="10">
    <w:name w:val="toc 3"/>
    <w:basedOn w:val="1"/>
    <w:next w:val="1"/>
    <w:unhideWhenUsed/>
    <w:qFormat/>
    <w:uiPriority w:val="39"/>
    <w:pPr>
      <w:spacing w:after="100"/>
      <w:ind w:left="560"/>
    </w:pPr>
  </w:style>
  <w:style w:type="character" w:customStyle="1" w:styleId="11">
    <w:name w:val="Верхний колонтитул Знак"/>
    <w:basedOn w:val="4"/>
    <w:link w:val="8"/>
    <w:qFormat/>
    <w:uiPriority w:val="99"/>
    <w:rPr>
      <w:sz w:val="28"/>
      <w:szCs w:val="28"/>
    </w:rPr>
  </w:style>
  <w:style w:type="character" w:customStyle="1" w:styleId="12">
    <w:name w:val="Нижний колонтитул Знак"/>
    <w:basedOn w:val="4"/>
    <w:link w:val="7"/>
    <w:qFormat/>
    <w:uiPriority w:val="99"/>
    <w:rPr>
      <w:sz w:val="28"/>
      <w:szCs w:val="28"/>
    </w:rPr>
  </w:style>
  <w:style w:type="character" w:customStyle="1" w:styleId="13">
    <w:name w:val="Заголовок 1 Знак"/>
    <w:basedOn w:val="4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  <w:lang w:eastAsia="ru-RU"/>
    </w:rPr>
  </w:style>
  <w:style w:type="character" w:customStyle="1" w:styleId="14">
    <w:name w:val="Заголовок 3 Знак"/>
    <w:basedOn w:val="4"/>
    <w:link w:val="3"/>
    <w:qFormat/>
    <w:uiPriority w:val="0"/>
    <w:rPr>
      <w:rFonts w:ascii="Arial" w:hAnsi="Arial" w:eastAsia="Times New Roman" w:cs="Arial"/>
      <w:b/>
      <w:bCs/>
      <w:sz w:val="26"/>
      <w:szCs w:val="26"/>
      <w:lang w:eastAsia="ru-RU"/>
    </w:rPr>
  </w:style>
  <w:style w:type="paragraph" w:styleId="15">
    <w:name w:val="List Paragraph"/>
    <w:basedOn w:val="1"/>
    <w:qFormat/>
    <w:uiPriority w:val="34"/>
    <w:pPr>
      <w:spacing w:after="160" w:line="259" w:lineRule="auto"/>
      <w:ind w:left="720"/>
      <w:contextualSpacing/>
    </w:pPr>
    <w:rPr>
      <w:sz w:val="22"/>
      <w:szCs w:val="22"/>
      <w:lang w:eastAsia="ru-RU"/>
    </w:rPr>
  </w:style>
  <w:style w:type="character" w:styleId="16">
    <w:name w:val="Placeholder Text"/>
    <w:basedOn w:val="4"/>
    <w:semiHidden/>
    <w:qFormat/>
    <w:uiPriority w:val="99"/>
    <w:rPr>
      <w:color w:val="666666"/>
    </w:rPr>
  </w:style>
  <w:style w:type="paragraph" w:customStyle="1" w:styleId="17">
    <w:name w:val="gt-block"/>
    <w:basedOn w:val="1"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8">
    <w:name w:val="Заголовок оглавления1"/>
    <w:basedOn w:val="2"/>
    <w:next w:val="1"/>
    <w:unhideWhenUsed/>
    <w:qFormat/>
    <w:uiPriority w:val="39"/>
    <w:pPr>
      <w:spacing w:line="259" w:lineRule="auto"/>
      <w:outlineLvl w:val="9"/>
    </w:pPr>
  </w:style>
  <w:style w:type="paragraph" w:customStyle="1" w:styleId="19">
    <w:name w:val="Обычный1"/>
    <w:qFormat/>
    <w:uiPriority w:val="0"/>
    <w:pPr>
      <w:spacing w:before="100" w:beforeAutospacing="1" w:after="100" w:afterAutospacing="1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paragraph" w:customStyle="1" w:styleId="20">
    <w:name w:val="Абзац списка1"/>
    <w:basedOn w:val="1"/>
    <w:qFormat/>
    <w:uiPriority w:val="0"/>
    <w:pPr>
      <w:spacing w:before="100" w:beforeAutospacing="1" w:after="100" w:afterAutospacing="1" w:line="256" w:lineRule="auto"/>
      <w:contextualSpacing/>
    </w:pPr>
    <w:rPr>
      <w:rFonts w:ascii="Calibri" w:hAnsi="Calibri" w:eastAsia="Times New Roman" w:cs="Times New Roman"/>
      <w:sz w:val="24"/>
      <w:szCs w:val="24"/>
      <w:lang w:eastAsia="ru-RU"/>
    </w:rPr>
  </w:style>
  <w:style w:type="paragraph" w:customStyle="1" w:styleId="21">
    <w:name w:val="Normal1"/>
    <w:qFormat/>
    <w:uiPriority w:val="0"/>
    <w:pPr>
      <w:spacing w:before="100" w:beforeAutospacing="1" w:after="100" w:afterAutospacing="1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paragraph" w:customStyle="1" w:styleId="22">
    <w:name w:val="Heading 31"/>
    <w:basedOn w:val="1"/>
    <w:next w:val="21"/>
    <w:qFormat/>
    <w:uiPriority w:val="0"/>
    <w:pPr>
      <w:keepNext/>
      <w:spacing w:before="100" w:beforeAutospacing="1" w:after="100" w:afterAutospacing="1"/>
      <w:outlineLvl w:val="2"/>
    </w:pPr>
    <w:rPr>
      <w:rFonts w:ascii="Arial" w:hAnsi="Arial" w:eastAsia="Times New Roman" w:cs="Arial"/>
      <w:b/>
      <w:bCs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jpe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jpeg"/><Relationship Id="rId9" Type="http://schemas.openxmlformats.org/officeDocument/2006/relationships/image" Target="media/image5.jpeg"/><Relationship Id="rId89" Type="http://schemas.openxmlformats.org/officeDocument/2006/relationships/image" Target="media/image85.jpe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8" Type="http://schemas.openxmlformats.org/officeDocument/2006/relationships/fontTable" Target="fontTable.xml"/><Relationship Id="rId117" Type="http://schemas.openxmlformats.org/officeDocument/2006/relationships/customXml" Target="../customXml/item2.xml"/><Relationship Id="rId116" Type="http://schemas.openxmlformats.org/officeDocument/2006/relationships/numbering" Target="numbering.xml"/><Relationship Id="rId115" Type="http://schemas.openxmlformats.org/officeDocument/2006/relationships/customXml" Target="../customXml/item1.xml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jpe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BA5FA3-860D-4690-B05E-69FED49240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4792</Words>
  <Characters>27316</Characters>
  <Lines>227</Lines>
  <Paragraphs>64</Paragraphs>
  <TotalTime>0</TotalTime>
  <ScaleCrop>false</ScaleCrop>
  <LinksUpToDate>false</LinksUpToDate>
  <CharactersWithSpaces>32044</CharactersWithSpaces>
  <Application>WPS Office_12.2.0.13472_F1E327BC-269C-435d-A152-05C5408002CA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2024-04-04T13:14:00Z</dcterms:created>
  <dc:creator>User1</dc:creator>
  <cp:lastModifiedBy>HP</cp:lastModifiedBy>
  <dcterms:modified xsi:type="dcterms:W3CDTF">2024-04-10T15:00:42Z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1D64DF99EAFE44ACBFA53BC8382F7955_13</vt:lpwstr>
  </property>
</Properties>
</file>